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0CFF23" w14:textId="77777777" w:rsidR="003B68CA" w:rsidRDefault="003B68CA" w:rsidP="00C32A60">
      <w:pPr>
        <w:pStyle w:val="Heading1"/>
        <w:rPr>
          <w:rFonts w:ascii="Arial" w:hAnsi="Arial" w:cs="Arial"/>
        </w:rPr>
      </w:pPr>
    </w:p>
    <w:p w14:paraId="0DA47F77" w14:textId="77777777" w:rsidR="003B68CA" w:rsidRDefault="003B68CA" w:rsidP="00C32A60">
      <w:pPr>
        <w:pStyle w:val="Heading1"/>
        <w:rPr>
          <w:rFonts w:ascii="Arial" w:hAnsi="Arial" w:cs="Arial"/>
        </w:rPr>
      </w:pPr>
    </w:p>
    <w:p w14:paraId="7ABAAFFA" w14:textId="77777777" w:rsidR="003B68CA" w:rsidRDefault="003B68CA" w:rsidP="00C32A60">
      <w:pPr>
        <w:pStyle w:val="Heading1"/>
        <w:rPr>
          <w:rFonts w:ascii="Arial" w:hAnsi="Arial" w:cs="Arial"/>
        </w:rPr>
      </w:pPr>
    </w:p>
    <w:p w14:paraId="66FDF6B5" w14:textId="77777777" w:rsidR="003B68CA" w:rsidRDefault="003B68CA" w:rsidP="00C32A60">
      <w:pPr>
        <w:pStyle w:val="Heading1"/>
        <w:rPr>
          <w:rFonts w:ascii="Arial" w:hAnsi="Arial" w:cs="Arial"/>
        </w:rPr>
      </w:pPr>
    </w:p>
    <w:p w14:paraId="37EE7351" w14:textId="77777777" w:rsidR="003B68CA" w:rsidRDefault="003B68CA" w:rsidP="00C32A60">
      <w:pPr>
        <w:pStyle w:val="Heading1"/>
        <w:rPr>
          <w:rFonts w:ascii="Arial" w:hAnsi="Arial" w:cs="Arial"/>
        </w:rPr>
      </w:pPr>
    </w:p>
    <w:p w14:paraId="51CAC40A" w14:textId="77777777" w:rsidR="003B68CA" w:rsidRDefault="003B68CA" w:rsidP="003B68CA">
      <w:pPr>
        <w:jc w:val="center"/>
        <w:rPr>
          <w:rFonts w:ascii="Arial" w:hAnsi="Arial" w:cs="Arial"/>
          <w:b/>
          <w:sz w:val="56"/>
          <w:szCs w:val="56"/>
        </w:rPr>
      </w:pPr>
      <w:r>
        <w:rPr>
          <w:rFonts w:ascii="Arial" w:hAnsi="Arial" w:cs="Arial"/>
          <w:b/>
          <w:sz w:val="56"/>
          <w:szCs w:val="56"/>
        </w:rPr>
        <w:t>Council Tax</w:t>
      </w:r>
    </w:p>
    <w:p w14:paraId="6ACF96C3" w14:textId="77777777" w:rsidR="003B68CA" w:rsidRDefault="003B68CA" w:rsidP="003B68CA">
      <w:pPr>
        <w:jc w:val="center"/>
        <w:rPr>
          <w:rFonts w:ascii="Arial" w:hAnsi="Arial" w:cs="Arial"/>
          <w:b/>
          <w:sz w:val="56"/>
          <w:szCs w:val="56"/>
        </w:rPr>
      </w:pPr>
    </w:p>
    <w:p w14:paraId="38D79C98" w14:textId="77777777" w:rsidR="003B68CA" w:rsidRDefault="003B68CA" w:rsidP="003B68CA">
      <w:pPr>
        <w:jc w:val="center"/>
        <w:rPr>
          <w:rFonts w:ascii="Arial" w:hAnsi="Arial" w:cs="Arial"/>
          <w:b/>
          <w:sz w:val="56"/>
          <w:szCs w:val="56"/>
        </w:rPr>
      </w:pPr>
    </w:p>
    <w:p w14:paraId="429F4078" w14:textId="77777777" w:rsidR="003B68CA" w:rsidRDefault="003B68CA" w:rsidP="003B68CA">
      <w:pPr>
        <w:jc w:val="center"/>
        <w:rPr>
          <w:rFonts w:ascii="Arial" w:hAnsi="Arial" w:cs="Arial"/>
          <w:b/>
          <w:sz w:val="56"/>
          <w:szCs w:val="56"/>
        </w:rPr>
      </w:pPr>
    </w:p>
    <w:p w14:paraId="72791FD8" w14:textId="77777777" w:rsidR="003B68CA" w:rsidRDefault="003B68CA" w:rsidP="003B68CA">
      <w:pPr>
        <w:jc w:val="center"/>
        <w:rPr>
          <w:rFonts w:ascii="Arial" w:hAnsi="Arial" w:cs="Arial"/>
          <w:b/>
          <w:sz w:val="56"/>
          <w:szCs w:val="56"/>
        </w:rPr>
      </w:pPr>
    </w:p>
    <w:p w14:paraId="2BC7A305" w14:textId="77777777" w:rsidR="00E67E96" w:rsidRDefault="00E67E96" w:rsidP="003B68CA">
      <w:pPr>
        <w:jc w:val="center"/>
        <w:rPr>
          <w:rFonts w:ascii="Arial" w:hAnsi="Arial" w:cs="Arial"/>
          <w:b/>
          <w:sz w:val="56"/>
          <w:szCs w:val="56"/>
        </w:rPr>
      </w:pPr>
    </w:p>
    <w:p w14:paraId="24C5D2E8" w14:textId="77777777" w:rsidR="008F259C" w:rsidRDefault="008F259C" w:rsidP="003B68CA">
      <w:pPr>
        <w:jc w:val="center"/>
        <w:rPr>
          <w:rFonts w:ascii="Arial" w:hAnsi="Arial" w:cs="Arial"/>
          <w:b/>
          <w:sz w:val="56"/>
          <w:szCs w:val="56"/>
        </w:rPr>
      </w:pPr>
    </w:p>
    <w:p w14:paraId="5438CAD3" w14:textId="77777777" w:rsidR="003B68CA" w:rsidRDefault="00E67E96" w:rsidP="003B68CA">
      <w:pPr>
        <w:jc w:val="center"/>
        <w:rPr>
          <w:rFonts w:ascii="Arial" w:hAnsi="Arial" w:cs="Arial"/>
          <w:b/>
          <w:sz w:val="56"/>
          <w:szCs w:val="56"/>
        </w:rPr>
      </w:pPr>
      <w:r>
        <w:rPr>
          <w:rFonts w:ascii="Arial" w:hAnsi="Arial" w:cs="Arial"/>
          <w:b/>
          <w:sz w:val="56"/>
          <w:szCs w:val="56"/>
        </w:rPr>
        <w:t xml:space="preserve"> Long Term Empty Propert</w:t>
      </w:r>
      <w:r w:rsidR="0056211D">
        <w:rPr>
          <w:rFonts w:ascii="Arial" w:hAnsi="Arial" w:cs="Arial"/>
          <w:b/>
          <w:sz w:val="56"/>
          <w:szCs w:val="56"/>
        </w:rPr>
        <w:t>y</w:t>
      </w:r>
      <w:r w:rsidR="008F259C">
        <w:rPr>
          <w:rFonts w:ascii="Arial" w:hAnsi="Arial" w:cs="Arial"/>
          <w:b/>
          <w:sz w:val="56"/>
          <w:szCs w:val="56"/>
        </w:rPr>
        <w:t xml:space="preserve"> &amp; Second Homes</w:t>
      </w:r>
      <w:r w:rsidR="0056211D">
        <w:rPr>
          <w:rFonts w:ascii="Arial" w:hAnsi="Arial" w:cs="Arial"/>
          <w:b/>
          <w:sz w:val="56"/>
          <w:szCs w:val="56"/>
        </w:rPr>
        <w:t xml:space="preserve"> Policy</w:t>
      </w:r>
    </w:p>
    <w:p w14:paraId="21C9D181" w14:textId="77777777" w:rsidR="003B68CA" w:rsidRDefault="003B68CA" w:rsidP="003B68CA">
      <w:pPr>
        <w:pStyle w:val="Heading1"/>
        <w:ind w:left="2268"/>
        <w:jc w:val="center"/>
        <w:rPr>
          <w:b w:val="0"/>
          <w:sz w:val="56"/>
          <w:szCs w:val="56"/>
        </w:rPr>
      </w:pPr>
    </w:p>
    <w:p w14:paraId="5676F4F7" w14:textId="77777777" w:rsidR="003B68CA" w:rsidRDefault="003B68CA" w:rsidP="003B68CA"/>
    <w:p w14:paraId="2CA07CED" w14:textId="77777777" w:rsidR="003B68CA" w:rsidRDefault="003B68CA" w:rsidP="003B68CA"/>
    <w:p w14:paraId="23E557BB" w14:textId="77777777" w:rsidR="003B68CA" w:rsidRDefault="003B68CA" w:rsidP="003B68CA"/>
    <w:p w14:paraId="30636D49" w14:textId="77777777" w:rsidR="003B68CA" w:rsidRDefault="003B68CA" w:rsidP="003B68CA"/>
    <w:p w14:paraId="716466E1" w14:textId="77777777" w:rsidR="003B68CA" w:rsidRDefault="003B68CA" w:rsidP="003B68CA">
      <w:pPr>
        <w:jc w:val="center"/>
      </w:pPr>
    </w:p>
    <w:p w14:paraId="33CBAC04" w14:textId="77777777" w:rsidR="003B68CA" w:rsidRDefault="003B68CA" w:rsidP="003B68CA">
      <w:pPr>
        <w:jc w:val="center"/>
      </w:pPr>
    </w:p>
    <w:p w14:paraId="2792ED0C" w14:textId="77777777" w:rsidR="003B68CA" w:rsidRDefault="003B68CA" w:rsidP="003B68CA">
      <w:pPr>
        <w:jc w:val="center"/>
      </w:pPr>
    </w:p>
    <w:p w14:paraId="4A9CA5CC" w14:textId="77777777" w:rsidR="003B68CA" w:rsidRDefault="003B68CA" w:rsidP="003B68CA"/>
    <w:p w14:paraId="7691650A" w14:textId="77777777" w:rsidR="003B68CA" w:rsidRDefault="003B68CA" w:rsidP="003B68CA">
      <w:pPr>
        <w:jc w:val="center"/>
      </w:pPr>
    </w:p>
    <w:p w14:paraId="42DE19FB" w14:textId="77777777" w:rsidR="003B68CA" w:rsidRDefault="003B68CA" w:rsidP="003B68CA">
      <w:pPr>
        <w:rPr>
          <w:b/>
          <w:bCs/>
        </w:rPr>
      </w:pPr>
    </w:p>
    <w:p w14:paraId="5D979B02" w14:textId="77777777" w:rsidR="003B68CA" w:rsidRDefault="003B68CA" w:rsidP="003B68CA">
      <w:pPr>
        <w:pStyle w:val="Title"/>
        <w:jc w:val="left"/>
        <w:rPr>
          <w:rFonts w:ascii="Arial" w:hAnsi="Arial" w:cs="Arial"/>
          <w:sz w:val="24"/>
        </w:rPr>
      </w:pPr>
    </w:p>
    <w:p w14:paraId="1C2279FD" w14:textId="77777777" w:rsidR="006A3313" w:rsidRDefault="006A3313" w:rsidP="003B68CA">
      <w:pPr>
        <w:pStyle w:val="Title"/>
        <w:jc w:val="left"/>
        <w:rPr>
          <w:rFonts w:ascii="Arial" w:hAnsi="Arial" w:cs="Arial"/>
          <w:sz w:val="24"/>
        </w:rPr>
      </w:pPr>
    </w:p>
    <w:p w14:paraId="71AEA5B7" w14:textId="77777777" w:rsidR="006A3313" w:rsidRDefault="006A3313" w:rsidP="003B68CA">
      <w:pPr>
        <w:pStyle w:val="Title"/>
        <w:jc w:val="left"/>
        <w:rPr>
          <w:rFonts w:ascii="Arial" w:hAnsi="Arial" w:cs="Arial"/>
          <w:sz w:val="24"/>
        </w:rPr>
      </w:pPr>
    </w:p>
    <w:p w14:paraId="54185045" w14:textId="77777777" w:rsidR="003B68CA" w:rsidRDefault="003B68CA" w:rsidP="003B68CA">
      <w:pPr>
        <w:pStyle w:val="Title"/>
        <w:jc w:val="left"/>
        <w:rPr>
          <w:rFonts w:ascii="Arial" w:hAnsi="Arial" w:cs="Arial"/>
          <w:sz w:val="24"/>
        </w:rPr>
      </w:pPr>
    </w:p>
    <w:p w14:paraId="43CC4B65" w14:textId="77777777" w:rsidR="008F259C" w:rsidRDefault="008F259C" w:rsidP="003B68CA">
      <w:pPr>
        <w:pStyle w:val="Title"/>
        <w:jc w:val="left"/>
        <w:rPr>
          <w:rFonts w:ascii="Arial" w:hAnsi="Arial" w:cs="Arial"/>
          <w:sz w:val="24"/>
        </w:rPr>
      </w:pPr>
    </w:p>
    <w:p w14:paraId="0F7543DA" w14:textId="77777777" w:rsidR="008F259C" w:rsidRDefault="008F259C" w:rsidP="003B68CA">
      <w:pPr>
        <w:pStyle w:val="Title"/>
        <w:jc w:val="left"/>
        <w:rPr>
          <w:rFonts w:ascii="Arial" w:hAnsi="Arial" w:cs="Arial"/>
          <w:sz w:val="24"/>
        </w:rPr>
      </w:pPr>
    </w:p>
    <w:p w14:paraId="20B8B3BA" w14:textId="77777777" w:rsidR="00884458" w:rsidRDefault="00884458" w:rsidP="003B68CA">
      <w:pPr>
        <w:pStyle w:val="Title"/>
        <w:jc w:val="left"/>
        <w:rPr>
          <w:rFonts w:ascii="Arial" w:hAnsi="Arial" w:cs="Arial"/>
          <w:sz w:val="24"/>
        </w:rPr>
      </w:pPr>
    </w:p>
    <w:p w14:paraId="68D39C84" w14:textId="77777777" w:rsidR="00884458" w:rsidRPr="001747B1" w:rsidRDefault="00884458" w:rsidP="00884458">
      <w:pPr>
        <w:pStyle w:val="Title"/>
        <w:rPr>
          <w:sz w:val="26"/>
        </w:rPr>
      </w:pPr>
      <w:r w:rsidRPr="001747B1">
        <w:rPr>
          <w:sz w:val="26"/>
        </w:rPr>
        <w:t>Document Control</w:t>
      </w:r>
    </w:p>
    <w:p w14:paraId="19286BC4" w14:textId="77777777" w:rsidR="00884458" w:rsidRDefault="00884458" w:rsidP="00884458">
      <w:pPr>
        <w:pStyle w:val="Title"/>
        <w:jc w:val="left"/>
        <w:rPr>
          <w:u w:val="single"/>
        </w:rPr>
      </w:pPr>
    </w:p>
    <w:p w14:paraId="3EBB02B0" w14:textId="77777777" w:rsidR="00884458" w:rsidRPr="00652B8A" w:rsidRDefault="00884458" w:rsidP="00884458">
      <w:pPr>
        <w:pStyle w:val="Title"/>
        <w:jc w:val="left"/>
        <w:rPr>
          <w:rFonts w:ascii="Arial" w:hAnsi="Arial" w:cs="Arial"/>
          <w:sz w:val="20"/>
        </w:rPr>
      </w:pPr>
      <w:r w:rsidRPr="00652B8A">
        <w:rPr>
          <w:rFonts w:ascii="Arial" w:hAnsi="Arial" w:cs="Arial"/>
          <w:sz w:val="20"/>
        </w:rPr>
        <w:t>Prepared by:</w:t>
      </w:r>
      <w:r w:rsidRPr="00652B8A">
        <w:rPr>
          <w:rFonts w:ascii="Arial" w:hAnsi="Arial" w:cs="Arial"/>
          <w:sz w:val="20"/>
        </w:rPr>
        <w:tab/>
      </w:r>
      <w:r w:rsidRPr="00652B8A">
        <w:rPr>
          <w:rFonts w:ascii="Arial" w:hAnsi="Arial" w:cs="Arial"/>
          <w:sz w:val="20"/>
        </w:rPr>
        <w:tab/>
        <w:t>Liz Brown</w:t>
      </w:r>
      <w:r w:rsidRPr="00652B8A">
        <w:rPr>
          <w:rFonts w:ascii="Arial" w:hAnsi="Arial" w:cs="Arial"/>
          <w:sz w:val="20"/>
        </w:rPr>
        <w:tab/>
      </w:r>
      <w:r w:rsidRPr="00652B8A">
        <w:rPr>
          <w:rFonts w:ascii="Arial" w:hAnsi="Arial" w:cs="Arial"/>
          <w:sz w:val="20"/>
        </w:rPr>
        <w:tab/>
      </w:r>
      <w:r w:rsidRPr="00652B8A">
        <w:rPr>
          <w:rFonts w:ascii="Arial" w:hAnsi="Arial" w:cs="Arial"/>
          <w:sz w:val="20"/>
        </w:rPr>
        <w:tab/>
      </w:r>
      <w:r w:rsidRPr="00652B8A">
        <w:rPr>
          <w:rFonts w:ascii="Arial" w:hAnsi="Arial" w:cs="Arial"/>
          <w:sz w:val="20"/>
        </w:rPr>
        <w:tab/>
      </w:r>
      <w:r w:rsidR="00652B8A">
        <w:rPr>
          <w:rFonts w:ascii="Arial" w:hAnsi="Arial" w:cs="Arial"/>
          <w:sz w:val="20"/>
        </w:rPr>
        <w:tab/>
      </w:r>
      <w:r w:rsidRPr="00652B8A">
        <w:rPr>
          <w:rFonts w:ascii="Arial" w:hAnsi="Arial" w:cs="Arial"/>
          <w:sz w:val="20"/>
        </w:rPr>
        <w:t>August 2015</w:t>
      </w:r>
    </w:p>
    <w:p w14:paraId="2762F487" w14:textId="77777777" w:rsidR="00884458" w:rsidRPr="00652B8A" w:rsidRDefault="00884458" w:rsidP="00884458">
      <w:pPr>
        <w:pStyle w:val="Title"/>
        <w:jc w:val="left"/>
        <w:rPr>
          <w:rFonts w:ascii="Arial" w:hAnsi="Arial" w:cs="Arial"/>
          <w:sz w:val="20"/>
        </w:rPr>
      </w:pPr>
      <w:r w:rsidRPr="00652B8A">
        <w:rPr>
          <w:rFonts w:ascii="Arial" w:hAnsi="Arial" w:cs="Arial"/>
          <w:sz w:val="20"/>
        </w:rPr>
        <w:t>Approved by:</w:t>
      </w:r>
      <w:r w:rsidRPr="00652B8A">
        <w:rPr>
          <w:rFonts w:ascii="Arial" w:hAnsi="Arial" w:cs="Arial"/>
          <w:sz w:val="20"/>
        </w:rPr>
        <w:tab/>
      </w:r>
      <w:r w:rsidRPr="00652B8A">
        <w:rPr>
          <w:rFonts w:ascii="Arial" w:hAnsi="Arial" w:cs="Arial"/>
          <w:sz w:val="20"/>
        </w:rPr>
        <w:tab/>
        <w:t>Policy &amp; Resources Committee</w:t>
      </w:r>
      <w:r w:rsidRPr="00652B8A">
        <w:rPr>
          <w:rFonts w:ascii="Arial" w:hAnsi="Arial" w:cs="Arial"/>
          <w:sz w:val="20"/>
        </w:rPr>
        <w:tab/>
      </w:r>
      <w:r w:rsidRPr="00652B8A">
        <w:rPr>
          <w:rFonts w:ascii="Arial" w:hAnsi="Arial" w:cs="Arial"/>
          <w:sz w:val="20"/>
        </w:rPr>
        <w:tab/>
        <w:t>September 2015</w:t>
      </w:r>
    </w:p>
    <w:p w14:paraId="1A4BA9AD" w14:textId="77777777" w:rsidR="00884458" w:rsidRDefault="00884458" w:rsidP="00884458">
      <w:pPr>
        <w:pStyle w:val="Title"/>
        <w:jc w:val="left"/>
        <w:rPr>
          <w:u w:val="single"/>
        </w:rPr>
      </w:pPr>
    </w:p>
    <w:p w14:paraId="63B90206" w14:textId="77777777" w:rsidR="00884458" w:rsidRDefault="00884458" w:rsidP="00884458">
      <w:pPr>
        <w:pStyle w:val="Title"/>
        <w:jc w:val="left"/>
        <w:rPr>
          <w:u w:val="single"/>
        </w:rPr>
      </w:pPr>
    </w:p>
    <w:p w14:paraId="4B8F9884" w14:textId="77777777" w:rsidR="00884458" w:rsidRPr="00652B8A" w:rsidRDefault="00652B8A" w:rsidP="00652B8A">
      <w:pPr>
        <w:pStyle w:val="Title"/>
        <w:rPr>
          <w:rFonts w:ascii="Arial" w:hAnsi="Arial" w:cs="Arial"/>
          <w:sz w:val="24"/>
        </w:rPr>
      </w:pPr>
      <w:r w:rsidRPr="00652B8A">
        <w:rPr>
          <w:rFonts w:ascii="Arial" w:hAnsi="Arial" w:cs="Arial"/>
          <w:sz w:val="24"/>
        </w:rPr>
        <w:t>Change Control Table</w:t>
      </w:r>
    </w:p>
    <w:p w14:paraId="5EDACEDA" w14:textId="77777777" w:rsidR="00884458" w:rsidRDefault="00884458" w:rsidP="003B68CA">
      <w:pPr>
        <w:pStyle w:val="Title"/>
        <w:jc w:val="left"/>
        <w:rPr>
          <w:rFonts w:ascii="Arial" w:hAnsi="Arial" w:cs="Arial"/>
          <w:sz w:val="24"/>
        </w:rPr>
      </w:pPr>
    </w:p>
    <w:p w14:paraId="0B3E654E" w14:textId="77777777" w:rsidR="00884458" w:rsidRDefault="00884458" w:rsidP="003B68CA">
      <w:pPr>
        <w:pStyle w:val="Title"/>
        <w:jc w:val="left"/>
        <w:rPr>
          <w:rFonts w:ascii="Arial" w:hAnsi="Arial" w:cs="Arial"/>
          <w:sz w:val="24"/>
        </w:rPr>
      </w:pPr>
    </w:p>
    <w:tbl>
      <w:tblPr>
        <w:tblStyle w:val="TableGrid"/>
        <w:tblW w:w="0" w:type="auto"/>
        <w:tblLook w:val="04A0" w:firstRow="1" w:lastRow="0" w:firstColumn="1" w:lastColumn="0" w:noHBand="0" w:noVBand="1"/>
      </w:tblPr>
      <w:tblGrid>
        <w:gridCol w:w="2329"/>
        <w:gridCol w:w="2339"/>
        <w:gridCol w:w="2330"/>
        <w:gridCol w:w="2352"/>
      </w:tblGrid>
      <w:tr w:rsidR="00652B8A" w14:paraId="55557A73" w14:textId="77777777" w:rsidTr="00652B8A">
        <w:tc>
          <w:tcPr>
            <w:tcW w:w="2394" w:type="dxa"/>
          </w:tcPr>
          <w:p w14:paraId="73C10839" w14:textId="77777777" w:rsidR="00652B8A" w:rsidRPr="00652B8A" w:rsidRDefault="00652B8A" w:rsidP="003B68CA">
            <w:pPr>
              <w:pStyle w:val="Title"/>
              <w:jc w:val="left"/>
              <w:rPr>
                <w:rFonts w:ascii="Arial" w:hAnsi="Arial" w:cs="Arial"/>
                <w:sz w:val="20"/>
                <w:szCs w:val="20"/>
              </w:rPr>
            </w:pPr>
            <w:r w:rsidRPr="00652B8A">
              <w:rPr>
                <w:rFonts w:ascii="Arial" w:hAnsi="Arial" w:cs="Arial"/>
                <w:sz w:val="20"/>
                <w:szCs w:val="20"/>
              </w:rPr>
              <w:t>Version</w:t>
            </w:r>
          </w:p>
        </w:tc>
        <w:tc>
          <w:tcPr>
            <w:tcW w:w="2394" w:type="dxa"/>
          </w:tcPr>
          <w:p w14:paraId="4F6556F6" w14:textId="77777777" w:rsidR="00652B8A" w:rsidRPr="00652B8A" w:rsidRDefault="00652B8A" w:rsidP="003B68CA">
            <w:pPr>
              <w:pStyle w:val="Title"/>
              <w:jc w:val="left"/>
              <w:rPr>
                <w:rFonts w:ascii="Arial" w:hAnsi="Arial" w:cs="Arial"/>
                <w:sz w:val="20"/>
                <w:szCs w:val="20"/>
              </w:rPr>
            </w:pPr>
            <w:r w:rsidRPr="00652B8A">
              <w:rPr>
                <w:rFonts w:ascii="Arial" w:hAnsi="Arial" w:cs="Arial"/>
                <w:sz w:val="20"/>
                <w:szCs w:val="20"/>
              </w:rPr>
              <w:t>Version Date</w:t>
            </w:r>
          </w:p>
        </w:tc>
        <w:tc>
          <w:tcPr>
            <w:tcW w:w="2394" w:type="dxa"/>
          </w:tcPr>
          <w:p w14:paraId="7DC5F6B4" w14:textId="77777777" w:rsidR="00652B8A" w:rsidRPr="00652B8A" w:rsidRDefault="00652B8A" w:rsidP="003B68CA">
            <w:pPr>
              <w:pStyle w:val="Title"/>
              <w:jc w:val="left"/>
              <w:rPr>
                <w:rFonts w:ascii="Arial" w:hAnsi="Arial" w:cs="Arial"/>
                <w:sz w:val="20"/>
                <w:szCs w:val="20"/>
              </w:rPr>
            </w:pPr>
            <w:r w:rsidRPr="00652B8A">
              <w:rPr>
                <w:rFonts w:ascii="Arial" w:hAnsi="Arial" w:cs="Arial"/>
                <w:sz w:val="20"/>
                <w:szCs w:val="20"/>
              </w:rPr>
              <w:t>Revised By</w:t>
            </w:r>
          </w:p>
        </w:tc>
        <w:tc>
          <w:tcPr>
            <w:tcW w:w="2394" w:type="dxa"/>
          </w:tcPr>
          <w:p w14:paraId="2E964157" w14:textId="77777777" w:rsidR="00652B8A" w:rsidRPr="00652B8A" w:rsidRDefault="00652B8A" w:rsidP="003B68CA">
            <w:pPr>
              <w:pStyle w:val="Title"/>
              <w:jc w:val="left"/>
              <w:rPr>
                <w:rFonts w:ascii="Arial" w:hAnsi="Arial" w:cs="Arial"/>
                <w:sz w:val="20"/>
                <w:szCs w:val="20"/>
              </w:rPr>
            </w:pPr>
            <w:r w:rsidRPr="00652B8A">
              <w:rPr>
                <w:rFonts w:ascii="Arial" w:hAnsi="Arial" w:cs="Arial"/>
                <w:sz w:val="20"/>
                <w:szCs w:val="20"/>
              </w:rPr>
              <w:t>Reason for Change</w:t>
            </w:r>
          </w:p>
        </w:tc>
      </w:tr>
      <w:tr w:rsidR="00652B8A" w14:paraId="475EAE1A" w14:textId="77777777" w:rsidTr="00652B8A">
        <w:trPr>
          <w:trHeight w:val="950"/>
        </w:trPr>
        <w:tc>
          <w:tcPr>
            <w:tcW w:w="2394" w:type="dxa"/>
          </w:tcPr>
          <w:p w14:paraId="4B47716E" w14:textId="77777777" w:rsidR="00652B8A" w:rsidRPr="00652B8A" w:rsidRDefault="00652B8A" w:rsidP="003B68CA">
            <w:pPr>
              <w:pStyle w:val="Title"/>
              <w:jc w:val="left"/>
              <w:rPr>
                <w:rFonts w:ascii="Arial" w:hAnsi="Arial" w:cs="Arial"/>
                <w:sz w:val="20"/>
                <w:szCs w:val="20"/>
              </w:rPr>
            </w:pPr>
            <w:r w:rsidRPr="00652B8A">
              <w:rPr>
                <w:rFonts w:ascii="Arial" w:hAnsi="Arial" w:cs="Arial"/>
                <w:sz w:val="20"/>
                <w:szCs w:val="20"/>
              </w:rPr>
              <w:t>2.0</w:t>
            </w:r>
          </w:p>
        </w:tc>
        <w:tc>
          <w:tcPr>
            <w:tcW w:w="2394" w:type="dxa"/>
          </w:tcPr>
          <w:p w14:paraId="0ED77922" w14:textId="77777777" w:rsidR="00652B8A" w:rsidRPr="00652B8A" w:rsidRDefault="00652B8A" w:rsidP="003B68CA">
            <w:pPr>
              <w:pStyle w:val="Title"/>
              <w:jc w:val="left"/>
              <w:rPr>
                <w:rFonts w:ascii="Arial" w:hAnsi="Arial" w:cs="Arial"/>
                <w:sz w:val="20"/>
                <w:szCs w:val="20"/>
              </w:rPr>
            </w:pPr>
            <w:r w:rsidRPr="00652B8A">
              <w:rPr>
                <w:rFonts w:ascii="Arial" w:hAnsi="Arial" w:cs="Arial"/>
                <w:sz w:val="20"/>
                <w:szCs w:val="20"/>
              </w:rPr>
              <w:t>March 2018</w:t>
            </w:r>
          </w:p>
        </w:tc>
        <w:tc>
          <w:tcPr>
            <w:tcW w:w="2394" w:type="dxa"/>
          </w:tcPr>
          <w:p w14:paraId="7B4EBD9A" w14:textId="77777777" w:rsidR="00652B8A" w:rsidRPr="00652B8A" w:rsidRDefault="00652B8A" w:rsidP="003B68CA">
            <w:pPr>
              <w:pStyle w:val="Title"/>
              <w:jc w:val="left"/>
              <w:rPr>
                <w:rFonts w:ascii="Arial" w:hAnsi="Arial" w:cs="Arial"/>
                <w:sz w:val="20"/>
                <w:szCs w:val="20"/>
              </w:rPr>
            </w:pPr>
            <w:r w:rsidRPr="00652B8A">
              <w:rPr>
                <w:rFonts w:ascii="Arial" w:hAnsi="Arial" w:cs="Arial"/>
                <w:sz w:val="20"/>
                <w:szCs w:val="20"/>
              </w:rPr>
              <w:t>L Brown</w:t>
            </w:r>
          </w:p>
        </w:tc>
        <w:tc>
          <w:tcPr>
            <w:tcW w:w="2394" w:type="dxa"/>
          </w:tcPr>
          <w:p w14:paraId="16CCBC40" w14:textId="77777777" w:rsidR="00652B8A" w:rsidRPr="00652B8A" w:rsidRDefault="00652B8A" w:rsidP="003B68CA">
            <w:pPr>
              <w:pStyle w:val="Title"/>
              <w:jc w:val="left"/>
              <w:rPr>
                <w:rFonts w:ascii="Arial" w:hAnsi="Arial" w:cs="Arial"/>
                <w:sz w:val="20"/>
                <w:szCs w:val="20"/>
              </w:rPr>
            </w:pPr>
            <w:r w:rsidRPr="00652B8A">
              <w:rPr>
                <w:rFonts w:ascii="Arial" w:hAnsi="Arial" w:cs="Arial"/>
                <w:sz w:val="20"/>
                <w:szCs w:val="20"/>
              </w:rPr>
              <w:t>Levy increased to 50% from 1</w:t>
            </w:r>
            <w:r w:rsidRPr="00652B8A">
              <w:rPr>
                <w:rFonts w:ascii="Arial" w:hAnsi="Arial" w:cs="Arial"/>
                <w:sz w:val="20"/>
                <w:szCs w:val="20"/>
                <w:vertAlign w:val="superscript"/>
              </w:rPr>
              <w:t>st</w:t>
            </w:r>
            <w:r w:rsidRPr="00652B8A">
              <w:rPr>
                <w:rFonts w:ascii="Arial" w:hAnsi="Arial" w:cs="Arial"/>
                <w:sz w:val="20"/>
                <w:szCs w:val="20"/>
              </w:rPr>
              <w:t xml:space="preserve"> April 2018</w:t>
            </w:r>
          </w:p>
        </w:tc>
      </w:tr>
      <w:tr w:rsidR="00652B8A" w14:paraId="4FABA202" w14:textId="77777777" w:rsidTr="00652B8A">
        <w:trPr>
          <w:trHeight w:val="836"/>
        </w:trPr>
        <w:tc>
          <w:tcPr>
            <w:tcW w:w="2394" w:type="dxa"/>
          </w:tcPr>
          <w:p w14:paraId="164A06E5" w14:textId="77777777" w:rsidR="00652B8A" w:rsidRPr="00652B8A" w:rsidRDefault="00652B8A" w:rsidP="003B68CA">
            <w:pPr>
              <w:pStyle w:val="Title"/>
              <w:jc w:val="left"/>
              <w:rPr>
                <w:rFonts w:ascii="Arial" w:hAnsi="Arial" w:cs="Arial"/>
                <w:sz w:val="20"/>
                <w:szCs w:val="20"/>
              </w:rPr>
            </w:pPr>
            <w:r w:rsidRPr="00652B8A">
              <w:rPr>
                <w:rFonts w:ascii="Arial" w:hAnsi="Arial" w:cs="Arial"/>
                <w:sz w:val="20"/>
                <w:szCs w:val="20"/>
              </w:rPr>
              <w:t>3.0</w:t>
            </w:r>
          </w:p>
        </w:tc>
        <w:tc>
          <w:tcPr>
            <w:tcW w:w="2394" w:type="dxa"/>
          </w:tcPr>
          <w:p w14:paraId="30F744CD" w14:textId="77777777" w:rsidR="00652B8A" w:rsidRPr="00652B8A" w:rsidRDefault="00652B8A" w:rsidP="003B68CA">
            <w:pPr>
              <w:pStyle w:val="Title"/>
              <w:jc w:val="left"/>
              <w:rPr>
                <w:rFonts w:ascii="Arial" w:hAnsi="Arial" w:cs="Arial"/>
                <w:sz w:val="20"/>
                <w:szCs w:val="20"/>
              </w:rPr>
            </w:pPr>
            <w:r w:rsidRPr="00652B8A">
              <w:rPr>
                <w:rFonts w:ascii="Arial" w:hAnsi="Arial" w:cs="Arial"/>
                <w:sz w:val="20"/>
                <w:szCs w:val="20"/>
              </w:rPr>
              <w:t>December 2018</w:t>
            </w:r>
          </w:p>
        </w:tc>
        <w:tc>
          <w:tcPr>
            <w:tcW w:w="2394" w:type="dxa"/>
          </w:tcPr>
          <w:p w14:paraId="19173C80" w14:textId="77777777" w:rsidR="00652B8A" w:rsidRPr="00652B8A" w:rsidRDefault="00652B8A" w:rsidP="003B68CA">
            <w:pPr>
              <w:pStyle w:val="Title"/>
              <w:jc w:val="left"/>
              <w:rPr>
                <w:rFonts w:ascii="Arial" w:hAnsi="Arial" w:cs="Arial"/>
                <w:sz w:val="20"/>
                <w:szCs w:val="20"/>
              </w:rPr>
            </w:pPr>
            <w:r w:rsidRPr="00652B8A">
              <w:rPr>
                <w:rFonts w:ascii="Arial" w:hAnsi="Arial" w:cs="Arial"/>
                <w:sz w:val="20"/>
                <w:szCs w:val="20"/>
              </w:rPr>
              <w:t>L Brown</w:t>
            </w:r>
          </w:p>
        </w:tc>
        <w:tc>
          <w:tcPr>
            <w:tcW w:w="2394" w:type="dxa"/>
          </w:tcPr>
          <w:p w14:paraId="2B78ADAD" w14:textId="77777777" w:rsidR="00652B8A" w:rsidRPr="00652B8A" w:rsidRDefault="00652B8A" w:rsidP="003B68CA">
            <w:pPr>
              <w:pStyle w:val="Title"/>
              <w:jc w:val="left"/>
              <w:rPr>
                <w:rFonts w:ascii="Arial" w:hAnsi="Arial" w:cs="Arial"/>
                <w:sz w:val="20"/>
                <w:szCs w:val="20"/>
              </w:rPr>
            </w:pPr>
            <w:r w:rsidRPr="00652B8A">
              <w:rPr>
                <w:rFonts w:ascii="Arial" w:hAnsi="Arial" w:cs="Arial"/>
                <w:sz w:val="20"/>
                <w:szCs w:val="20"/>
              </w:rPr>
              <w:t>Levy increased to 100% from 1</w:t>
            </w:r>
            <w:r w:rsidRPr="00652B8A">
              <w:rPr>
                <w:rFonts w:ascii="Arial" w:hAnsi="Arial" w:cs="Arial"/>
                <w:sz w:val="20"/>
                <w:szCs w:val="20"/>
                <w:vertAlign w:val="superscript"/>
              </w:rPr>
              <w:t>st</w:t>
            </w:r>
            <w:r w:rsidRPr="00652B8A">
              <w:rPr>
                <w:rFonts w:ascii="Arial" w:hAnsi="Arial" w:cs="Arial"/>
                <w:sz w:val="20"/>
                <w:szCs w:val="20"/>
              </w:rPr>
              <w:t xml:space="preserve"> April 2019</w:t>
            </w:r>
          </w:p>
        </w:tc>
      </w:tr>
      <w:tr w:rsidR="00652B8A" w14:paraId="2686250B" w14:textId="77777777" w:rsidTr="00652B8A">
        <w:trPr>
          <w:trHeight w:val="990"/>
        </w:trPr>
        <w:tc>
          <w:tcPr>
            <w:tcW w:w="2394" w:type="dxa"/>
          </w:tcPr>
          <w:p w14:paraId="0673109B" w14:textId="77777777" w:rsidR="00652B8A" w:rsidRPr="00652B8A" w:rsidRDefault="00652B8A" w:rsidP="003B68CA">
            <w:pPr>
              <w:pStyle w:val="Title"/>
              <w:jc w:val="left"/>
              <w:rPr>
                <w:rFonts w:ascii="Arial" w:hAnsi="Arial" w:cs="Arial"/>
                <w:sz w:val="20"/>
                <w:szCs w:val="20"/>
              </w:rPr>
            </w:pPr>
          </w:p>
        </w:tc>
        <w:tc>
          <w:tcPr>
            <w:tcW w:w="2394" w:type="dxa"/>
          </w:tcPr>
          <w:p w14:paraId="0750B0AD" w14:textId="77777777" w:rsidR="00652B8A" w:rsidRPr="00652B8A" w:rsidRDefault="00652B8A" w:rsidP="003B68CA">
            <w:pPr>
              <w:pStyle w:val="Title"/>
              <w:jc w:val="left"/>
              <w:rPr>
                <w:rFonts w:ascii="Arial" w:hAnsi="Arial" w:cs="Arial"/>
                <w:sz w:val="20"/>
                <w:szCs w:val="20"/>
              </w:rPr>
            </w:pPr>
          </w:p>
        </w:tc>
        <w:tc>
          <w:tcPr>
            <w:tcW w:w="2394" w:type="dxa"/>
          </w:tcPr>
          <w:p w14:paraId="3D969053" w14:textId="77777777" w:rsidR="00652B8A" w:rsidRPr="00652B8A" w:rsidRDefault="00652B8A" w:rsidP="003B68CA">
            <w:pPr>
              <w:pStyle w:val="Title"/>
              <w:jc w:val="left"/>
              <w:rPr>
                <w:rFonts w:ascii="Arial" w:hAnsi="Arial" w:cs="Arial"/>
                <w:sz w:val="20"/>
                <w:szCs w:val="20"/>
              </w:rPr>
            </w:pPr>
          </w:p>
        </w:tc>
        <w:tc>
          <w:tcPr>
            <w:tcW w:w="2394" w:type="dxa"/>
          </w:tcPr>
          <w:p w14:paraId="542B91D3" w14:textId="77777777" w:rsidR="00652B8A" w:rsidRPr="00652B8A" w:rsidRDefault="00652B8A" w:rsidP="003B68CA">
            <w:pPr>
              <w:pStyle w:val="Title"/>
              <w:jc w:val="left"/>
              <w:rPr>
                <w:rFonts w:ascii="Arial" w:hAnsi="Arial" w:cs="Arial"/>
                <w:sz w:val="20"/>
                <w:szCs w:val="20"/>
              </w:rPr>
            </w:pPr>
            <w:r w:rsidRPr="00652B8A">
              <w:rPr>
                <w:rFonts w:ascii="Arial" w:hAnsi="Arial" w:cs="Arial"/>
                <w:sz w:val="20"/>
                <w:szCs w:val="20"/>
              </w:rPr>
              <w:t>Additional discretionary exemption categories introduced</w:t>
            </w:r>
          </w:p>
        </w:tc>
      </w:tr>
      <w:tr w:rsidR="00652B8A" w14:paraId="55C8F962" w14:textId="77777777" w:rsidTr="00652B8A">
        <w:trPr>
          <w:trHeight w:val="833"/>
        </w:trPr>
        <w:tc>
          <w:tcPr>
            <w:tcW w:w="2394" w:type="dxa"/>
          </w:tcPr>
          <w:p w14:paraId="0347E53A" w14:textId="77777777" w:rsidR="00652B8A" w:rsidRPr="00652B8A" w:rsidRDefault="00652B8A" w:rsidP="003B68CA">
            <w:pPr>
              <w:pStyle w:val="Title"/>
              <w:jc w:val="left"/>
              <w:rPr>
                <w:rFonts w:ascii="Arial" w:hAnsi="Arial" w:cs="Arial"/>
                <w:sz w:val="20"/>
                <w:szCs w:val="20"/>
              </w:rPr>
            </w:pPr>
          </w:p>
        </w:tc>
        <w:tc>
          <w:tcPr>
            <w:tcW w:w="2394" w:type="dxa"/>
          </w:tcPr>
          <w:p w14:paraId="78318775" w14:textId="77777777" w:rsidR="00652B8A" w:rsidRPr="00652B8A" w:rsidRDefault="00652B8A" w:rsidP="003B68CA">
            <w:pPr>
              <w:pStyle w:val="Title"/>
              <w:jc w:val="left"/>
              <w:rPr>
                <w:rFonts w:ascii="Arial" w:hAnsi="Arial" w:cs="Arial"/>
                <w:sz w:val="20"/>
                <w:szCs w:val="20"/>
              </w:rPr>
            </w:pPr>
          </w:p>
        </w:tc>
        <w:tc>
          <w:tcPr>
            <w:tcW w:w="2394" w:type="dxa"/>
          </w:tcPr>
          <w:p w14:paraId="1F2685D9" w14:textId="77777777" w:rsidR="00652B8A" w:rsidRPr="00652B8A" w:rsidRDefault="00652B8A" w:rsidP="003B68CA">
            <w:pPr>
              <w:pStyle w:val="Title"/>
              <w:jc w:val="left"/>
              <w:rPr>
                <w:rFonts w:ascii="Arial" w:hAnsi="Arial" w:cs="Arial"/>
                <w:sz w:val="20"/>
                <w:szCs w:val="20"/>
              </w:rPr>
            </w:pPr>
          </w:p>
        </w:tc>
        <w:tc>
          <w:tcPr>
            <w:tcW w:w="2394" w:type="dxa"/>
          </w:tcPr>
          <w:p w14:paraId="23E9A76E" w14:textId="77777777" w:rsidR="00652B8A" w:rsidRPr="00652B8A" w:rsidRDefault="00652B8A" w:rsidP="003B68CA">
            <w:pPr>
              <w:pStyle w:val="Title"/>
              <w:jc w:val="left"/>
              <w:rPr>
                <w:rFonts w:ascii="Arial" w:hAnsi="Arial" w:cs="Arial"/>
                <w:sz w:val="20"/>
                <w:szCs w:val="20"/>
              </w:rPr>
            </w:pPr>
            <w:r w:rsidRPr="00652B8A">
              <w:rPr>
                <w:rFonts w:ascii="Arial" w:hAnsi="Arial" w:cs="Arial"/>
                <w:sz w:val="20"/>
                <w:szCs w:val="20"/>
              </w:rPr>
              <w:t>Second Homes Policy added to document</w:t>
            </w:r>
          </w:p>
        </w:tc>
      </w:tr>
      <w:tr w:rsidR="00652B8A" w14:paraId="7DD25F0C" w14:textId="77777777" w:rsidTr="00652B8A">
        <w:trPr>
          <w:trHeight w:val="846"/>
        </w:trPr>
        <w:tc>
          <w:tcPr>
            <w:tcW w:w="2394" w:type="dxa"/>
          </w:tcPr>
          <w:p w14:paraId="1A13F6F3" w14:textId="77777777" w:rsidR="00652B8A" w:rsidRPr="00CA402E" w:rsidRDefault="00CA402E" w:rsidP="003B68CA">
            <w:pPr>
              <w:pStyle w:val="Title"/>
              <w:jc w:val="left"/>
              <w:rPr>
                <w:rFonts w:ascii="Arial" w:hAnsi="Arial" w:cs="Arial"/>
                <w:sz w:val="20"/>
              </w:rPr>
            </w:pPr>
            <w:r w:rsidRPr="00CA402E">
              <w:rPr>
                <w:rFonts w:ascii="Arial" w:hAnsi="Arial" w:cs="Arial"/>
                <w:sz w:val="20"/>
              </w:rPr>
              <w:t>4.0</w:t>
            </w:r>
          </w:p>
        </w:tc>
        <w:tc>
          <w:tcPr>
            <w:tcW w:w="2394" w:type="dxa"/>
          </w:tcPr>
          <w:p w14:paraId="0AF593A9" w14:textId="77777777" w:rsidR="00652B8A" w:rsidRDefault="00CA402E" w:rsidP="003B68CA">
            <w:pPr>
              <w:pStyle w:val="Title"/>
              <w:jc w:val="left"/>
              <w:rPr>
                <w:rFonts w:ascii="Arial" w:hAnsi="Arial" w:cs="Arial"/>
                <w:sz w:val="24"/>
              </w:rPr>
            </w:pPr>
            <w:r w:rsidRPr="00CA402E">
              <w:rPr>
                <w:rFonts w:ascii="Arial" w:hAnsi="Arial" w:cs="Arial"/>
                <w:sz w:val="20"/>
              </w:rPr>
              <w:t>February 2019</w:t>
            </w:r>
          </w:p>
        </w:tc>
        <w:tc>
          <w:tcPr>
            <w:tcW w:w="2394" w:type="dxa"/>
          </w:tcPr>
          <w:p w14:paraId="0A2E6389" w14:textId="77777777" w:rsidR="00652B8A" w:rsidRDefault="00CA402E" w:rsidP="003B68CA">
            <w:pPr>
              <w:pStyle w:val="Title"/>
              <w:jc w:val="left"/>
              <w:rPr>
                <w:rFonts w:ascii="Arial" w:hAnsi="Arial" w:cs="Arial"/>
                <w:sz w:val="24"/>
              </w:rPr>
            </w:pPr>
            <w:r w:rsidRPr="00CA402E">
              <w:rPr>
                <w:rFonts w:ascii="Arial" w:hAnsi="Arial" w:cs="Arial"/>
                <w:sz w:val="20"/>
              </w:rPr>
              <w:t>L Brown</w:t>
            </w:r>
          </w:p>
        </w:tc>
        <w:tc>
          <w:tcPr>
            <w:tcW w:w="2394" w:type="dxa"/>
          </w:tcPr>
          <w:p w14:paraId="30AD2788" w14:textId="77777777" w:rsidR="00652B8A" w:rsidRDefault="00CA402E" w:rsidP="00CA402E">
            <w:pPr>
              <w:pStyle w:val="Title"/>
              <w:jc w:val="left"/>
              <w:rPr>
                <w:rFonts w:ascii="Arial" w:hAnsi="Arial" w:cs="Arial"/>
                <w:sz w:val="24"/>
              </w:rPr>
            </w:pPr>
            <w:r w:rsidRPr="00CA402E">
              <w:rPr>
                <w:rFonts w:ascii="Arial" w:hAnsi="Arial" w:cs="Arial"/>
                <w:sz w:val="20"/>
              </w:rPr>
              <w:t xml:space="preserve">Policy updated to include exemption agreed by Policy &amp; </w:t>
            </w:r>
            <w:r>
              <w:rPr>
                <w:rFonts w:ascii="Arial" w:hAnsi="Arial" w:cs="Arial"/>
                <w:sz w:val="20"/>
              </w:rPr>
              <w:t>R</w:t>
            </w:r>
            <w:r w:rsidRPr="00CA402E">
              <w:rPr>
                <w:rFonts w:ascii="Arial" w:hAnsi="Arial" w:cs="Arial"/>
                <w:sz w:val="20"/>
              </w:rPr>
              <w:t>esources Committee on 5</w:t>
            </w:r>
            <w:r w:rsidRPr="00CA402E">
              <w:rPr>
                <w:rFonts w:ascii="Arial" w:hAnsi="Arial" w:cs="Arial"/>
                <w:sz w:val="20"/>
                <w:vertAlign w:val="superscript"/>
              </w:rPr>
              <w:t>th</w:t>
            </w:r>
            <w:r w:rsidRPr="00CA402E">
              <w:rPr>
                <w:rFonts w:ascii="Arial" w:hAnsi="Arial" w:cs="Arial"/>
                <w:sz w:val="20"/>
              </w:rPr>
              <w:t xml:space="preserve"> February 2019 </w:t>
            </w:r>
          </w:p>
        </w:tc>
      </w:tr>
      <w:tr w:rsidR="00652B8A" w14:paraId="3A4C6AB7" w14:textId="77777777" w:rsidTr="00652B8A">
        <w:trPr>
          <w:trHeight w:val="844"/>
        </w:trPr>
        <w:tc>
          <w:tcPr>
            <w:tcW w:w="2394" w:type="dxa"/>
          </w:tcPr>
          <w:p w14:paraId="0A955CFA" w14:textId="77777777" w:rsidR="00652B8A" w:rsidRPr="00845B13" w:rsidRDefault="00845B13" w:rsidP="003B68CA">
            <w:pPr>
              <w:pStyle w:val="Title"/>
              <w:jc w:val="left"/>
              <w:rPr>
                <w:rFonts w:ascii="Arial" w:hAnsi="Arial" w:cs="Arial"/>
                <w:sz w:val="20"/>
                <w:szCs w:val="20"/>
              </w:rPr>
            </w:pPr>
            <w:r w:rsidRPr="00845B13">
              <w:rPr>
                <w:rFonts w:ascii="Arial" w:hAnsi="Arial" w:cs="Arial"/>
                <w:sz w:val="20"/>
                <w:szCs w:val="20"/>
              </w:rPr>
              <w:t>5.0</w:t>
            </w:r>
          </w:p>
        </w:tc>
        <w:tc>
          <w:tcPr>
            <w:tcW w:w="2394" w:type="dxa"/>
          </w:tcPr>
          <w:p w14:paraId="1F1CA1FD" w14:textId="77777777" w:rsidR="00652B8A" w:rsidRPr="00845B13" w:rsidRDefault="007664D6" w:rsidP="003B68CA">
            <w:pPr>
              <w:pStyle w:val="Title"/>
              <w:jc w:val="left"/>
              <w:rPr>
                <w:rFonts w:ascii="Arial" w:hAnsi="Arial" w:cs="Arial"/>
                <w:sz w:val="20"/>
                <w:szCs w:val="20"/>
              </w:rPr>
            </w:pPr>
            <w:r>
              <w:rPr>
                <w:rFonts w:ascii="Arial" w:hAnsi="Arial" w:cs="Arial"/>
                <w:sz w:val="20"/>
                <w:szCs w:val="20"/>
              </w:rPr>
              <w:t>February 2022</w:t>
            </w:r>
          </w:p>
        </w:tc>
        <w:tc>
          <w:tcPr>
            <w:tcW w:w="2394" w:type="dxa"/>
          </w:tcPr>
          <w:p w14:paraId="287F1F1C" w14:textId="77777777" w:rsidR="00652B8A" w:rsidRPr="00845B13" w:rsidRDefault="007664D6" w:rsidP="003B68CA">
            <w:pPr>
              <w:pStyle w:val="Title"/>
              <w:jc w:val="left"/>
              <w:rPr>
                <w:rFonts w:ascii="Arial" w:hAnsi="Arial" w:cs="Arial"/>
                <w:sz w:val="20"/>
                <w:szCs w:val="20"/>
              </w:rPr>
            </w:pPr>
            <w:r>
              <w:rPr>
                <w:rFonts w:ascii="Arial" w:hAnsi="Arial" w:cs="Arial"/>
                <w:sz w:val="20"/>
                <w:szCs w:val="20"/>
              </w:rPr>
              <w:t>T Bunton</w:t>
            </w:r>
          </w:p>
        </w:tc>
        <w:tc>
          <w:tcPr>
            <w:tcW w:w="2394" w:type="dxa"/>
          </w:tcPr>
          <w:p w14:paraId="2FD9317E" w14:textId="77777777" w:rsidR="00652B8A" w:rsidRPr="00845B13" w:rsidRDefault="00D15576" w:rsidP="003D4E6B">
            <w:pPr>
              <w:pStyle w:val="Title"/>
              <w:jc w:val="left"/>
              <w:rPr>
                <w:rFonts w:ascii="Arial" w:hAnsi="Arial" w:cs="Arial"/>
                <w:sz w:val="20"/>
                <w:szCs w:val="20"/>
              </w:rPr>
            </w:pPr>
            <w:r>
              <w:rPr>
                <w:rFonts w:ascii="Arial" w:hAnsi="Arial" w:cs="Arial"/>
                <w:sz w:val="20"/>
                <w:szCs w:val="20"/>
              </w:rPr>
              <w:t xml:space="preserve">(7.3) </w:t>
            </w:r>
            <w:r w:rsidR="00F80E80">
              <w:rPr>
                <w:rFonts w:ascii="Arial" w:hAnsi="Arial" w:cs="Arial"/>
                <w:sz w:val="20"/>
                <w:szCs w:val="20"/>
              </w:rPr>
              <w:t>Removal of the Levy from property located in the Clune Park Estate not owned by the Council.</w:t>
            </w:r>
          </w:p>
        </w:tc>
      </w:tr>
      <w:tr w:rsidR="00652B8A" w14:paraId="6ADD72AE" w14:textId="77777777" w:rsidTr="00652B8A">
        <w:trPr>
          <w:trHeight w:val="984"/>
        </w:trPr>
        <w:tc>
          <w:tcPr>
            <w:tcW w:w="2394" w:type="dxa"/>
          </w:tcPr>
          <w:p w14:paraId="20A6D44F" w14:textId="77777777" w:rsidR="00652B8A" w:rsidRDefault="00652B8A" w:rsidP="003B68CA">
            <w:pPr>
              <w:pStyle w:val="Title"/>
              <w:jc w:val="left"/>
              <w:rPr>
                <w:rFonts w:ascii="Arial" w:hAnsi="Arial" w:cs="Arial"/>
                <w:sz w:val="24"/>
              </w:rPr>
            </w:pPr>
          </w:p>
        </w:tc>
        <w:tc>
          <w:tcPr>
            <w:tcW w:w="2394" w:type="dxa"/>
          </w:tcPr>
          <w:p w14:paraId="3B2BAEC5" w14:textId="77777777" w:rsidR="00652B8A" w:rsidRDefault="00652B8A" w:rsidP="003B68CA">
            <w:pPr>
              <w:pStyle w:val="Title"/>
              <w:jc w:val="left"/>
              <w:rPr>
                <w:rFonts w:ascii="Arial" w:hAnsi="Arial" w:cs="Arial"/>
                <w:sz w:val="24"/>
              </w:rPr>
            </w:pPr>
          </w:p>
        </w:tc>
        <w:tc>
          <w:tcPr>
            <w:tcW w:w="2394" w:type="dxa"/>
          </w:tcPr>
          <w:p w14:paraId="15DC8DC4" w14:textId="77777777" w:rsidR="00652B8A" w:rsidRDefault="00652B8A" w:rsidP="003B68CA">
            <w:pPr>
              <w:pStyle w:val="Title"/>
              <w:jc w:val="left"/>
              <w:rPr>
                <w:rFonts w:ascii="Arial" w:hAnsi="Arial" w:cs="Arial"/>
                <w:sz w:val="24"/>
              </w:rPr>
            </w:pPr>
          </w:p>
        </w:tc>
        <w:tc>
          <w:tcPr>
            <w:tcW w:w="2394" w:type="dxa"/>
          </w:tcPr>
          <w:p w14:paraId="493755A5" w14:textId="77777777" w:rsidR="00652B8A" w:rsidRPr="007664D6" w:rsidRDefault="007664D6" w:rsidP="003B68CA">
            <w:pPr>
              <w:pStyle w:val="Title"/>
              <w:jc w:val="left"/>
              <w:rPr>
                <w:rFonts w:ascii="Arial" w:hAnsi="Arial" w:cs="Arial"/>
                <w:sz w:val="20"/>
                <w:szCs w:val="20"/>
              </w:rPr>
            </w:pPr>
            <w:r w:rsidRPr="007664D6">
              <w:rPr>
                <w:rFonts w:ascii="Arial" w:hAnsi="Arial" w:cs="Arial"/>
                <w:sz w:val="20"/>
                <w:szCs w:val="20"/>
              </w:rPr>
              <w:t xml:space="preserve">(7.12) Property awaiting demolition </w:t>
            </w:r>
            <w:r>
              <w:rPr>
                <w:rFonts w:ascii="Arial" w:hAnsi="Arial" w:cs="Arial"/>
                <w:sz w:val="20"/>
                <w:szCs w:val="20"/>
              </w:rPr>
              <w:t>–</w:t>
            </w:r>
            <w:r w:rsidRPr="007664D6">
              <w:rPr>
                <w:rFonts w:ascii="Arial" w:hAnsi="Arial" w:cs="Arial"/>
                <w:sz w:val="20"/>
                <w:szCs w:val="20"/>
              </w:rPr>
              <w:t xml:space="preserve"> clarification</w:t>
            </w:r>
          </w:p>
        </w:tc>
      </w:tr>
      <w:tr w:rsidR="007664D6" w14:paraId="317D4130" w14:textId="77777777" w:rsidTr="00652B8A">
        <w:trPr>
          <w:trHeight w:val="984"/>
        </w:trPr>
        <w:tc>
          <w:tcPr>
            <w:tcW w:w="2394" w:type="dxa"/>
          </w:tcPr>
          <w:p w14:paraId="4C8571F3" w14:textId="77777777" w:rsidR="007664D6" w:rsidRDefault="007664D6" w:rsidP="003B68CA">
            <w:pPr>
              <w:pStyle w:val="Title"/>
              <w:jc w:val="left"/>
              <w:rPr>
                <w:rFonts w:ascii="Arial" w:hAnsi="Arial" w:cs="Arial"/>
                <w:sz w:val="24"/>
              </w:rPr>
            </w:pPr>
          </w:p>
        </w:tc>
        <w:tc>
          <w:tcPr>
            <w:tcW w:w="2394" w:type="dxa"/>
          </w:tcPr>
          <w:p w14:paraId="3671511E" w14:textId="77777777" w:rsidR="007664D6" w:rsidRDefault="007664D6" w:rsidP="003B68CA">
            <w:pPr>
              <w:pStyle w:val="Title"/>
              <w:jc w:val="left"/>
              <w:rPr>
                <w:rFonts w:ascii="Arial" w:hAnsi="Arial" w:cs="Arial"/>
                <w:sz w:val="24"/>
              </w:rPr>
            </w:pPr>
          </w:p>
        </w:tc>
        <w:tc>
          <w:tcPr>
            <w:tcW w:w="2394" w:type="dxa"/>
          </w:tcPr>
          <w:p w14:paraId="3441BD92" w14:textId="77777777" w:rsidR="007664D6" w:rsidRDefault="007664D6" w:rsidP="003B68CA">
            <w:pPr>
              <w:pStyle w:val="Title"/>
              <w:jc w:val="left"/>
              <w:rPr>
                <w:rFonts w:ascii="Arial" w:hAnsi="Arial" w:cs="Arial"/>
                <w:sz w:val="24"/>
              </w:rPr>
            </w:pPr>
          </w:p>
        </w:tc>
        <w:tc>
          <w:tcPr>
            <w:tcW w:w="2394" w:type="dxa"/>
          </w:tcPr>
          <w:p w14:paraId="5912636D" w14:textId="77777777" w:rsidR="007664D6" w:rsidRPr="007664D6" w:rsidRDefault="007664D6" w:rsidP="00F80E80">
            <w:pPr>
              <w:pStyle w:val="Title"/>
              <w:jc w:val="left"/>
              <w:rPr>
                <w:rFonts w:ascii="Arial" w:hAnsi="Arial" w:cs="Arial"/>
                <w:sz w:val="20"/>
                <w:szCs w:val="20"/>
              </w:rPr>
            </w:pPr>
          </w:p>
        </w:tc>
      </w:tr>
    </w:tbl>
    <w:p w14:paraId="2D3A9A31" w14:textId="77777777" w:rsidR="00884458" w:rsidRDefault="00884458" w:rsidP="003B68CA">
      <w:pPr>
        <w:pStyle w:val="Title"/>
        <w:jc w:val="left"/>
        <w:rPr>
          <w:rFonts w:ascii="Arial" w:hAnsi="Arial" w:cs="Arial"/>
          <w:sz w:val="24"/>
        </w:rPr>
      </w:pPr>
    </w:p>
    <w:p w14:paraId="3C3A15C7" w14:textId="77777777" w:rsidR="00884458" w:rsidRDefault="00884458" w:rsidP="003B68CA">
      <w:pPr>
        <w:pStyle w:val="Title"/>
        <w:jc w:val="left"/>
        <w:rPr>
          <w:rFonts w:ascii="Arial" w:hAnsi="Arial" w:cs="Arial"/>
          <w:sz w:val="24"/>
        </w:rPr>
      </w:pPr>
    </w:p>
    <w:p w14:paraId="1B62542E" w14:textId="77777777" w:rsidR="00884458" w:rsidRDefault="00884458" w:rsidP="003B68CA">
      <w:pPr>
        <w:pStyle w:val="Title"/>
        <w:jc w:val="left"/>
        <w:rPr>
          <w:rFonts w:ascii="Arial" w:hAnsi="Arial" w:cs="Arial"/>
          <w:sz w:val="24"/>
        </w:rPr>
      </w:pPr>
    </w:p>
    <w:p w14:paraId="264416DE" w14:textId="77777777" w:rsidR="00884458" w:rsidRDefault="00884458" w:rsidP="003B68CA">
      <w:pPr>
        <w:pStyle w:val="Title"/>
        <w:jc w:val="left"/>
        <w:rPr>
          <w:rFonts w:ascii="Arial" w:hAnsi="Arial" w:cs="Arial"/>
          <w:sz w:val="24"/>
        </w:rPr>
      </w:pPr>
    </w:p>
    <w:p w14:paraId="1D2E184B" w14:textId="77777777" w:rsidR="003B68CA" w:rsidRPr="00635813" w:rsidRDefault="003B68CA" w:rsidP="003B68CA">
      <w:pPr>
        <w:pStyle w:val="Title"/>
        <w:jc w:val="left"/>
        <w:rPr>
          <w:rFonts w:ascii="Arial" w:hAnsi="Arial" w:cs="Arial"/>
          <w:sz w:val="24"/>
        </w:rPr>
      </w:pPr>
      <w:r w:rsidRPr="00635813">
        <w:rPr>
          <w:rFonts w:ascii="Arial" w:hAnsi="Arial" w:cs="Arial"/>
          <w:sz w:val="24"/>
        </w:rPr>
        <w:lastRenderedPageBreak/>
        <w:t>Table of Contents</w:t>
      </w:r>
      <w:r w:rsidRPr="00635813">
        <w:rPr>
          <w:rFonts w:ascii="Arial" w:hAnsi="Arial" w:cs="Arial"/>
          <w:sz w:val="24"/>
        </w:rPr>
        <w:tab/>
      </w:r>
      <w:r w:rsidRPr="00635813">
        <w:rPr>
          <w:rFonts w:ascii="Arial" w:hAnsi="Arial" w:cs="Arial"/>
          <w:sz w:val="24"/>
        </w:rPr>
        <w:tab/>
      </w:r>
      <w:r w:rsidRPr="00635813">
        <w:rPr>
          <w:rFonts w:ascii="Arial" w:hAnsi="Arial" w:cs="Arial"/>
          <w:sz w:val="24"/>
        </w:rPr>
        <w:tab/>
      </w:r>
      <w:r w:rsidRPr="00635813">
        <w:rPr>
          <w:rFonts w:ascii="Arial" w:hAnsi="Arial" w:cs="Arial"/>
          <w:sz w:val="24"/>
        </w:rPr>
        <w:tab/>
      </w:r>
      <w:r w:rsidRPr="00635813">
        <w:rPr>
          <w:rFonts w:ascii="Arial" w:hAnsi="Arial" w:cs="Arial"/>
          <w:sz w:val="24"/>
        </w:rPr>
        <w:tab/>
      </w:r>
      <w:r w:rsidRPr="00635813">
        <w:rPr>
          <w:rFonts w:ascii="Arial" w:hAnsi="Arial" w:cs="Arial"/>
          <w:sz w:val="24"/>
        </w:rPr>
        <w:tab/>
      </w:r>
      <w:r w:rsidRPr="00635813">
        <w:rPr>
          <w:rFonts w:ascii="Arial" w:hAnsi="Arial" w:cs="Arial"/>
          <w:sz w:val="24"/>
        </w:rPr>
        <w:tab/>
        <w:t>Page(s)</w:t>
      </w:r>
    </w:p>
    <w:p w14:paraId="0C66C054" w14:textId="77777777" w:rsidR="003B68CA" w:rsidRDefault="003B68CA" w:rsidP="003B68CA">
      <w:pPr>
        <w:pStyle w:val="Title"/>
        <w:jc w:val="left"/>
        <w:rPr>
          <w:rFonts w:ascii="Arial" w:hAnsi="Arial" w:cs="Arial"/>
          <w:sz w:val="24"/>
          <w:u w:val="single"/>
        </w:rPr>
      </w:pPr>
    </w:p>
    <w:p w14:paraId="5CED0A24" w14:textId="77777777" w:rsidR="003B68CA" w:rsidRDefault="003B68CA" w:rsidP="003B68CA">
      <w:pPr>
        <w:pStyle w:val="Title"/>
        <w:jc w:val="left"/>
        <w:rPr>
          <w:rFonts w:ascii="Arial" w:hAnsi="Arial" w:cs="Arial"/>
          <w:sz w:val="24"/>
          <w:u w:val="single"/>
        </w:rPr>
      </w:pPr>
    </w:p>
    <w:p w14:paraId="0CAAE6B1" w14:textId="77777777" w:rsidR="003B68CA" w:rsidRPr="00635813" w:rsidRDefault="003B68CA" w:rsidP="003B68CA">
      <w:pPr>
        <w:pStyle w:val="Title"/>
        <w:jc w:val="left"/>
        <w:rPr>
          <w:rFonts w:ascii="Arial" w:hAnsi="Arial" w:cs="Arial"/>
          <w:sz w:val="24"/>
          <w:u w:val="single"/>
        </w:rPr>
      </w:pPr>
    </w:p>
    <w:p w14:paraId="1360BF16" w14:textId="77777777" w:rsidR="003B68CA" w:rsidRPr="007C22B3" w:rsidRDefault="003B68CA" w:rsidP="007C22B3">
      <w:pPr>
        <w:pStyle w:val="Title"/>
        <w:jc w:val="left"/>
        <w:rPr>
          <w:rFonts w:ascii="Arial" w:hAnsi="Arial" w:cs="Arial"/>
          <w:sz w:val="24"/>
        </w:rPr>
      </w:pPr>
      <w:r>
        <w:rPr>
          <w:rFonts w:ascii="Arial" w:hAnsi="Arial" w:cs="Arial"/>
          <w:sz w:val="24"/>
        </w:rPr>
        <w:t>1.0</w:t>
      </w:r>
      <w:r>
        <w:rPr>
          <w:rFonts w:ascii="Arial" w:hAnsi="Arial" w:cs="Arial"/>
          <w:sz w:val="24"/>
        </w:rPr>
        <w:tab/>
      </w:r>
      <w:r w:rsidRPr="00635813">
        <w:rPr>
          <w:rFonts w:ascii="Arial" w:hAnsi="Arial" w:cs="Arial"/>
          <w:sz w:val="24"/>
        </w:rPr>
        <w:t>Introduction</w:t>
      </w:r>
      <w:r w:rsidRPr="00635813">
        <w:rPr>
          <w:rFonts w:ascii="Arial" w:hAnsi="Arial" w:cs="Arial"/>
          <w:sz w:val="24"/>
        </w:rPr>
        <w:tab/>
      </w:r>
      <w:r w:rsidRPr="00635813">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BD2164">
        <w:rPr>
          <w:rFonts w:ascii="Arial" w:hAnsi="Arial" w:cs="Arial"/>
          <w:sz w:val="24"/>
        </w:rPr>
        <w:t>4</w:t>
      </w:r>
      <w:r>
        <w:rPr>
          <w:rFonts w:ascii="Arial" w:hAnsi="Arial" w:cs="Arial"/>
          <w:sz w:val="24"/>
        </w:rPr>
        <w:tab/>
      </w:r>
      <w:r w:rsidRPr="00635813">
        <w:rPr>
          <w:rFonts w:ascii="Arial" w:hAnsi="Arial" w:cs="Arial"/>
          <w:sz w:val="24"/>
        </w:rPr>
        <w:tab/>
      </w:r>
      <w:r w:rsidRPr="00635813">
        <w:rPr>
          <w:rFonts w:ascii="Arial" w:hAnsi="Arial" w:cs="Arial"/>
          <w:sz w:val="24"/>
        </w:rPr>
        <w:tab/>
      </w:r>
      <w:r w:rsidRPr="00635813">
        <w:rPr>
          <w:rFonts w:ascii="Arial" w:hAnsi="Arial" w:cs="Arial"/>
          <w:sz w:val="24"/>
        </w:rPr>
        <w:tab/>
      </w:r>
      <w:r w:rsidRPr="00635813">
        <w:rPr>
          <w:rFonts w:ascii="Arial" w:hAnsi="Arial" w:cs="Arial"/>
          <w:sz w:val="24"/>
        </w:rPr>
        <w:tab/>
      </w:r>
      <w:r w:rsidRPr="00635813">
        <w:rPr>
          <w:rFonts w:ascii="Arial" w:hAnsi="Arial" w:cs="Arial"/>
          <w:sz w:val="24"/>
        </w:rPr>
        <w:tab/>
      </w:r>
      <w:r w:rsidRPr="00635813">
        <w:rPr>
          <w:rFonts w:ascii="Arial" w:hAnsi="Arial" w:cs="Arial"/>
          <w:sz w:val="24"/>
        </w:rPr>
        <w:tab/>
      </w:r>
    </w:p>
    <w:p w14:paraId="018F7DF9" w14:textId="77777777" w:rsidR="003B68CA" w:rsidRDefault="003B68CA" w:rsidP="003B68CA">
      <w:pPr>
        <w:pStyle w:val="Title"/>
        <w:jc w:val="left"/>
        <w:rPr>
          <w:rFonts w:ascii="Arial" w:hAnsi="Arial" w:cs="Arial"/>
          <w:sz w:val="24"/>
        </w:rPr>
      </w:pPr>
      <w:r>
        <w:rPr>
          <w:rFonts w:ascii="Arial" w:hAnsi="Arial" w:cs="Arial"/>
          <w:sz w:val="24"/>
        </w:rPr>
        <w:t>2.0</w:t>
      </w:r>
      <w:r>
        <w:rPr>
          <w:rFonts w:ascii="Arial" w:hAnsi="Arial" w:cs="Arial"/>
          <w:sz w:val="24"/>
        </w:rPr>
        <w:tab/>
        <w:t>Background</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BD2164">
        <w:rPr>
          <w:rFonts w:ascii="Arial" w:hAnsi="Arial" w:cs="Arial"/>
          <w:sz w:val="24"/>
        </w:rPr>
        <w:t>4</w:t>
      </w:r>
    </w:p>
    <w:p w14:paraId="78E057CD" w14:textId="77777777" w:rsidR="003B68CA" w:rsidRDefault="003B68CA" w:rsidP="003B68CA">
      <w:pPr>
        <w:pStyle w:val="Title"/>
        <w:jc w:val="left"/>
        <w:rPr>
          <w:rFonts w:ascii="Arial" w:hAnsi="Arial" w:cs="Arial"/>
          <w:sz w:val="24"/>
        </w:rPr>
      </w:pPr>
    </w:p>
    <w:p w14:paraId="519542F7" w14:textId="77777777" w:rsidR="003B68CA" w:rsidRDefault="003B68CA" w:rsidP="003B68CA">
      <w:pPr>
        <w:pStyle w:val="Title"/>
        <w:jc w:val="left"/>
        <w:rPr>
          <w:rFonts w:ascii="Arial" w:hAnsi="Arial" w:cs="Arial"/>
          <w:sz w:val="24"/>
        </w:rPr>
      </w:pPr>
      <w:r>
        <w:rPr>
          <w:rFonts w:ascii="Arial" w:hAnsi="Arial" w:cs="Arial"/>
          <w:sz w:val="24"/>
        </w:rPr>
        <w:t>3.0</w:t>
      </w:r>
      <w:r>
        <w:rPr>
          <w:rFonts w:ascii="Arial" w:hAnsi="Arial" w:cs="Arial"/>
          <w:sz w:val="24"/>
        </w:rPr>
        <w:tab/>
      </w:r>
      <w:r w:rsidR="00815137">
        <w:rPr>
          <w:rFonts w:ascii="Arial" w:hAnsi="Arial" w:cs="Arial"/>
          <w:sz w:val="24"/>
        </w:rPr>
        <w:t>Unoccupied Dwellings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BD2164">
        <w:rPr>
          <w:rFonts w:ascii="Arial" w:hAnsi="Arial" w:cs="Arial"/>
          <w:sz w:val="24"/>
        </w:rPr>
        <w:t>5</w:t>
      </w:r>
    </w:p>
    <w:p w14:paraId="6636EDE5" w14:textId="77777777" w:rsidR="003B68CA" w:rsidRDefault="003B68CA" w:rsidP="003B68CA">
      <w:pPr>
        <w:pStyle w:val="Title"/>
        <w:jc w:val="left"/>
        <w:rPr>
          <w:rFonts w:ascii="Arial" w:hAnsi="Arial" w:cs="Arial"/>
          <w:sz w:val="24"/>
        </w:rPr>
      </w:pPr>
    </w:p>
    <w:p w14:paraId="6451672B" w14:textId="77777777" w:rsidR="003B68CA" w:rsidRPr="00635813" w:rsidRDefault="00717739" w:rsidP="003B68CA">
      <w:pPr>
        <w:pStyle w:val="Title"/>
        <w:jc w:val="left"/>
        <w:rPr>
          <w:rFonts w:ascii="Arial" w:hAnsi="Arial" w:cs="Arial"/>
          <w:sz w:val="24"/>
        </w:rPr>
      </w:pPr>
      <w:r>
        <w:rPr>
          <w:rFonts w:ascii="Arial" w:hAnsi="Arial" w:cs="Arial"/>
          <w:sz w:val="24"/>
        </w:rPr>
        <w:t>4.0</w:t>
      </w:r>
      <w:r>
        <w:rPr>
          <w:rFonts w:ascii="Arial" w:hAnsi="Arial" w:cs="Arial"/>
          <w:sz w:val="24"/>
        </w:rPr>
        <w:tab/>
      </w:r>
      <w:r w:rsidR="00815137">
        <w:rPr>
          <w:rFonts w:ascii="Arial" w:hAnsi="Arial" w:cs="Arial"/>
          <w:sz w:val="24"/>
        </w:rPr>
        <w:t>Second Homes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BD2164">
        <w:rPr>
          <w:rFonts w:ascii="Arial" w:hAnsi="Arial" w:cs="Arial"/>
          <w:sz w:val="24"/>
        </w:rPr>
        <w:t>5</w:t>
      </w:r>
    </w:p>
    <w:p w14:paraId="21EFDBED" w14:textId="77777777" w:rsidR="003B68CA" w:rsidRDefault="003B68CA" w:rsidP="003B68CA">
      <w:pPr>
        <w:pStyle w:val="Title"/>
        <w:jc w:val="left"/>
        <w:rPr>
          <w:b w:val="0"/>
        </w:rPr>
      </w:pPr>
    </w:p>
    <w:p w14:paraId="09D4DDE1" w14:textId="77777777" w:rsidR="003B68CA" w:rsidRDefault="007C22B3" w:rsidP="003B68CA">
      <w:pPr>
        <w:pStyle w:val="Heading2"/>
        <w:spacing w:before="0"/>
        <w:rPr>
          <w:rFonts w:ascii="Arial" w:hAnsi="Arial" w:cs="Arial"/>
          <w:color w:val="auto"/>
          <w:sz w:val="24"/>
          <w:szCs w:val="24"/>
        </w:rPr>
      </w:pPr>
      <w:r w:rsidRPr="007C22B3">
        <w:rPr>
          <w:rFonts w:ascii="Arial" w:hAnsi="Arial" w:cs="Arial"/>
          <w:color w:val="auto"/>
          <w:sz w:val="24"/>
          <w:szCs w:val="24"/>
        </w:rPr>
        <w:t>5.0</w:t>
      </w:r>
      <w:r w:rsidR="003B68CA" w:rsidRPr="007C22B3">
        <w:rPr>
          <w:rFonts w:ascii="Arial" w:hAnsi="Arial" w:cs="Arial"/>
          <w:sz w:val="24"/>
          <w:szCs w:val="24"/>
        </w:rPr>
        <w:tab/>
      </w:r>
      <w:r w:rsidR="00815137">
        <w:rPr>
          <w:rFonts w:ascii="Arial" w:hAnsi="Arial" w:cs="Arial"/>
          <w:color w:val="auto"/>
          <w:sz w:val="24"/>
          <w:szCs w:val="24"/>
        </w:rPr>
        <w:t>Exclusions from Increase</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sidR="00BD2164">
        <w:rPr>
          <w:rFonts w:ascii="Arial" w:hAnsi="Arial" w:cs="Arial"/>
          <w:color w:val="auto"/>
          <w:sz w:val="24"/>
          <w:szCs w:val="24"/>
        </w:rPr>
        <w:t>6</w:t>
      </w:r>
    </w:p>
    <w:p w14:paraId="4650BEDB" w14:textId="77777777" w:rsidR="007C22B3" w:rsidRDefault="007C22B3" w:rsidP="007C22B3"/>
    <w:p w14:paraId="22B6A14A" w14:textId="77777777" w:rsidR="007C22B3" w:rsidRPr="007C22B3" w:rsidRDefault="007C22B3" w:rsidP="007C22B3">
      <w:pPr>
        <w:rPr>
          <w:rFonts w:ascii="Arial" w:hAnsi="Arial" w:cs="Arial"/>
          <w:b/>
        </w:rPr>
      </w:pPr>
      <w:r w:rsidRPr="007C22B3">
        <w:rPr>
          <w:rFonts w:ascii="Arial" w:hAnsi="Arial" w:cs="Arial"/>
          <w:b/>
        </w:rPr>
        <w:t>6.0</w:t>
      </w:r>
      <w:r w:rsidRPr="007C22B3">
        <w:rPr>
          <w:rFonts w:ascii="Arial" w:hAnsi="Arial" w:cs="Arial"/>
          <w:b/>
        </w:rPr>
        <w:tab/>
      </w:r>
      <w:r w:rsidR="00815137">
        <w:rPr>
          <w:rFonts w:ascii="Arial" w:hAnsi="Arial" w:cs="Arial"/>
          <w:b/>
        </w:rPr>
        <w:t>Information Requests</w:t>
      </w:r>
      <w:r w:rsidRPr="007C22B3">
        <w:rPr>
          <w:rFonts w:ascii="Arial" w:hAnsi="Arial" w:cs="Arial"/>
          <w:b/>
        </w:rPr>
        <w:tab/>
      </w:r>
      <w:r w:rsidRPr="007C22B3">
        <w:rPr>
          <w:rFonts w:ascii="Arial" w:hAnsi="Arial" w:cs="Arial"/>
          <w:b/>
        </w:rPr>
        <w:tab/>
      </w:r>
      <w:r w:rsidRPr="007C22B3">
        <w:rPr>
          <w:rFonts w:ascii="Arial" w:hAnsi="Arial" w:cs="Arial"/>
          <w:b/>
        </w:rPr>
        <w:tab/>
      </w:r>
      <w:r w:rsidRPr="007C22B3">
        <w:rPr>
          <w:rFonts w:ascii="Arial" w:hAnsi="Arial" w:cs="Arial"/>
          <w:b/>
        </w:rPr>
        <w:tab/>
      </w:r>
      <w:r w:rsidRPr="007C22B3">
        <w:rPr>
          <w:rFonts w:ascii="Arial" w:hAnsi="Arial" w:cs="Arial"/>
          <w:b/>
        </w:rPr>
        <w:tab/>
      </w:r>
      <w:r w:rsidRPr="007C22B3">
        <w:rPr>
          <w:rFonts w:ascii="Arial" w:hAnsi="Arial" w:cs="Arial"/>
          <w:b/>
        </w:rPr>
        <w:tab/>
      </w:r>
      <w:r w:rsidR="00BD2164">
        <w:rPr>
          <w:rFonts w:ascii="Arial" w:hAnsi="Arial" w:cs="Arial"/>
          <w:b/>
        </w:rPr>
        <w:t>8</w:t>
      </w:r>
    </w:p>
    <w:p w14:paraId="53566388" w14:textId="77777777" w:rsidR="007C22B3" w:rsidRPr="007C22B3" w:rsidRDefault="007C22B3" w:rsidP="007C22B3">
      <w:pPr>
        <w:rPr>
          <w:rFonts w:ascii="Arial" w:hAnsi="Arial" w:cs="Arial"/>
          <w:b/>
        </w:rPr>
      </w:pPr>
    </w:p>
    <w:p w14:paraId="34353578" w14:textId="77777777" w:rsidR="007C22B3" w:rsidRDefault="007C22B3" w:rsidP="007C22B3">
      <w:pPr>
        <w:rPr>
          <w:rFonts w:ascii="Arial" w:hAnsi="Arial" w:cs="Arial"/>
          <w:b/>
        </w:rPr>
      </w:pPr>
      <w:r w:rsidRPr="007C22B3">
        <w:rPr>
          <w:rFonts w:ascii="Arial" w:hAnsi="Arial" w:cs="Arial"/>
          <w:b/>
        </w:rPr>
        <w:t>7.0</w:t>
      </w:r>
      <w:r w:rsidRPr="007C22B3">
        <w:rPr>
          <w:rFonts w:ascii="Arial" w:hAnsi="Arial" w:cs="Arial"/>
          <w:b/>
        </w:rPr>
        <w:tab/>
      </w:r>
      <w:r w:rsidR="00652B8A">
        <w:rPr>
          <w:rFonts w:ascii="Arial" w:hAnsi="Arial" w:cs="Arial"/>
          <w:b/>
        </w:rPr>
        <w:t xml:space="preserve">Council Tax </w:t>
      </w:r>
      <w:r w:rsidR="00815137">
        <w:rPr>
          <w:rFonts w:ascii="Arial" w:hAnsi="Arial" w:cs="Arial"/>
          <w:b/>
        </w:rPr>
        <w:t>Levy</w:t>
      </w:r>
      <w:r w:rsidR="00652B8A">
        <w:rPr>
          <w:rFonts w:ascii="Arial" w:hAnsi="Arial" w:cs="Arial"/>
          <w:b/>
        </w:rPr>
        <w:t xml:space="preserve"> Policy</w:t>
      </w:r>
      <w:r w:rsidR="00652B8A">
        <w:rPr>
          <w:rFonts w:ascii="Arial" w:hAnsi="Arial" w:cs="Arial"/>
          <w:b/>
        </w:rPr>
        <w:tab/>
      </w:r>
      <w:r w:rsidR="00652B8A">
        <w:rPr>
          <w:rFonts w:ascii="Arial" w:hAnsi="Arial" w:cs="Arial"/>
          <w:b/>
        </w:rPr>
        <w:tab/>
      </w:r>
      <w:r w:rsidRPr="007C22B3">
        <w:rPr>
          <w:rFonts w:ascii="Arial" w:hAnsi="Arial" w:cs="Arial"/>
          <w:b/>
        </w:rPr>
        <w:tab/>
      </w:r>
      <w:r w:rsidRPr="007C22B3">
        <w:rPr>
          <w:rFonts w:ascii="Arial" w:hAnsi="Arial" w:cs="Arial"/>
          <w:b/>
        </w:rPr>
        <w:tab/>
      </w:r>
      <w:r w:rsidRPr="007C22B3">
        <w:rPr>
          <w:rFonts w:ascii="Arial" w:hAnsi="Arial" w:cs="Arial"/>
          <w:b/>
        </w:rPr>
        <w:tab/>
      </w:r>
      <w:r w:rsidR="00815137">
        <w:rPr>
          <w:rFonts w:ascii="Arial" w:hAnsi="Arial" w:cs="Arial"/>
          <w:b/>
        </w:rPr>
        <w:tab/>
      </w:r>
      <w:r w:rsidR="00BD2164">
        <w:rPr>
          <w:rFonts w:ascii="Arial" w:hAnsi="Arial" w:cs="Arial"/>
          <w:b/>
        </w:rPr>
        <w:t>8</w:t>
      </w:r>
    </w:p>
    <w:p w14:paraId="785106FF" w14:textId="77777777" w:rsidR="00652B8A" w:rsidRDefault="00652B8A" w:rsidP="007C22B3">
      <w:pPr>
        <w:rPr>
          <w:rFonts w:ascii="Arial" w:hAnsi="Arial" w:cs="Arial"/>
          <w:b/>
        </w:rPr>
      </w:pPr>
    </w:p>
    <w:p w14:paraId="57864CA3" w14:textId="77777777" w:rsidR="00652B8A" w:rsidRDefault="00652B8A" w:rsidP="007C22B3">
      <w:pPr>
        <w:rPr>
          <w:rFonts w:ascii="Arial" w:hAnsi="Arial" w:cs="Arial"/>
          <w:b/>
        </w:rPr>
      </w:pPr>
      <w:r>
        <w:rPr>
          <w:rFonts w:ascii="Arial" w:hAnsi="Arial" w:cs="Arial"/>
          <w:b/>
        </w:rPr>
        <w:t>8.0</w:t>
      </w:r>
      <w:r>
        <w:rPr>
          <w:rFonts w:ascii="Arial" w:hAnsi="Arial" w:cs="Arial"/>
          <w:b/>
        </w:rPr>
        <w:tab/>
        <w:t>Second Homes Policy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10</w:t>
      </w:r>
    </w:p>
    <w:p w14:paraId="5636E78C" w14:textId="77777777" w:rsidR="00815137" w:rsidRDefault="00815137" w:rsidP="007C22B3">
      <w:pPr>
        <w:rPr>
          <w:rFonts w:ascii="Arial" w:hAnsi="Arial" w:cs="Arial"/>
          <w:b/>
        </w:rPr>
      </w:pPr>
    </w:p>
    <w:p w14:paraId="135DDA00" w14:textId="77777777" w:rsidR="00815137" w:rsidRPr="007C22B3" w:rsidRDefault="00652B8A" w:rsidP="007C22B3">
      <w:pPr>
        <w:rPr>
          <w:rFonts w:ascii="Arial" w:hAnsi="Arial" w:cs="Arial"/>
          <w:b/>
        </w:rPr>
      </w:pPr>
      <w:r>
        <w:rPr>
          <w:rFonts w:ascii="Arial" w:hAnsi="Arial" w:cs="Arial"/>
          <w:b/>
        </w:rPr>
        <w:t>9.0</w:t>
      </w:r>
      <w:r w:rsidR="00815137">
        <w:rPr>
          <w:rFonts w:ascii="Arial" w:hAnsi="Arial" w:cs="Arial"/>
          <w:b/>
        </w:rPr>
        <w:tab/>
        <w:t>Appeals</w:t>
      </w:r>
      <w:r w:rsidR="00815137">
        <w:rPr>
          <w:rFonts w:ascii="Arial" w:hAnsi="Arial" w:cs="Arial"/>
          <w:b/>
        </w:rPr>
        <w:tab/>
      </w:r>
      <w:r w:rsidR="00815137">
        <w:rPr>
          <w:rFonts w:ascii="Arial" w:hAnsi="Arial" w:cs="Arial"/>
          <w:b/>
        </w:rPr>
        <w:tab/>
      </w:r>
      <w:r w:rsidR="00815137">
        <w:rPr>
          <w:rFonts w:ascii="Arial" w:hAnsi="Arial" w:cs="Arial"/>
          <w:b/>
        </w:rPr>
        <w:tab/>
      </w:r>
      <w:r w:rsidR="00815137">
        <w:rPr>
          <w:rFonts w:ascii="Arial" w:hAnsi="Arial" w:cs="Arial"/>
          <w:b/>
        </w:rPr>
        <w:tab/>
      </w:r>
      <w:r w:rsidR="00815137">
        <w:rPr>
          <w:rFonts w:ascii="Arial" w:hAnsi="Arial" w:cs="Arial"/>
          <w:b/>
        </w:rPr>
        <w:tab/>
      </w:r>
      <w:r w:rsidR="00815137">
        <w:rPr>
          <w:rFonts w:ascii="Arial" w:hAnsi="Arial" w:cs="Arial"/>
          <w:b/>
        </w:rPr>
        <w:tab/>
      </w:r>
      <w:r w:rsidR="00815137">
        <w:rPr>
          <w:rFonts w:ascii="Arial" w:hAnsi="Arial" w:cs="Arial"/>
          <w:b/>
        </w:rPr>
        <w:tab/>
      </w:r>
      <w:r w:rsidR="00815137">
        <w:rPr>
          <w:rFonts w:ascii="Arial" w:hAnsi="Arial" w:cs="Arial"/>
          <w:b/>
        </w:rPr>
        <w:tab/>
      </w:r>
      <w:r w:rsidR="00BD2164">
        <w:rPr>
          <w:rFonts w:ascii="Arial" w:hAnsi="Arial" w:cs="Arial"/>
          <w:b/>
        </w:rPr>
        <w:t>1</w:t>
      </w:r>
      <w:r>
        <w:rPr>
          <w:rFonts w:ascii="Arial" w:hAnsi="Arial" w:cs="Arial"/>
          <w:b/>
        </w:rPr>
        <w:t>1</w:t>
      </w:r>
    </w:p>
    <w:p w14:paraId="1280FA4F" w14:textId="77777777" w:rsidR="003B68CA" w:rsidRDefault="003B68CA" w:rsidP="003B68CA">
      <w:pPr>
        <w:pStyle w:val="Title"/>
        <w:jc w:val="left"/>
      </w:pPr>
      <w:r>
        <w:tab/>
      </w:r>
    </w:p>
    <w:p w14:paraId="790F6709" w14:textId="77777777" w:rsidR="003B68CA" w:rsidRDefault="003B68CA" w:rsidP="00C32A60">
      <w:pPr>
        <w:pStyle w:val="Heading1"/>
        <w:rPr>
          <w:rFonts w:ascii="Arial" w:hAnsi="Arial" w:cs="Arial"/>
        </w:rPr>
      </w:pPr>
    </w:p>
    <w:p w14:paraId="5EF0C944" w14:textId="77777777" w:rsidR="003B68CA" w:rsidRDefault="003B68CA" w:rsidP="00C32A60">
      <w:pPr>
        <w:pStyle w:val="Heading1"/>
        <w:rPr>
          <w:rFonts w:ascii="Arial" w:hAnsi="Arial" w:cs="Arial"/>
        </w:rPr>
      </w:pPr>
    </w:p>
    <w:p w14:paraId="56661F6D" w14:textId="77777777" w:rsidR="003B68CA" w:rsidRDefault="003B68CA" w:rsidP="00C32A60">
      <w:pPr>
        <w:pStyle w:val="Heading1"/>
        <w:rPr>
          <w:rFonts w:ascii="Arial" w:hAnsi="Arial" w:cs="Arial"/>
        </w:rPr>
      </w:pPr>
    </w:p>
    <w:p w14:paraId="26D07DC1" w14:textId="77777777" w:rsidR="003B68CA" w:rsidRDefault="003B68CA" w:rsidP="00C32A60">
      <w:pPr>
        <w:pStyle w:val="Heading1"/>
        <w:rPr>
          <w:rFonts w:ascii="Arial" w:hAnsi="Arial" w:cs="Arial"/>
        </w:rPr>
      </w:pPr>
    </w:p>
    <w:p w14:paraId="277510D5" w14:textId="77777777" w:rsidR="003B68CA" w:rsidRDefault="003B68CA" w:rsidP="00C32A60">
      <w:pPr>
        <w:pStyle w:val="Heading1"/>
        <w:rPr>
          <w:rFonts w:ascii="Arial" w:hAnsi="Arial" w:cs="Arial"/>
        </w:rPr>
      </w:pPr>
    </w:p>
    <w:p w14:paraId="51138C4D" w14:textId="77777777" w:rsidR="003B68CA" w:rsidRDefault="003B68CA" w:rsidP="00C32A60">
      <w:pPr>
        <w:pStyle w:val="Heading1"/>
        <w:rPr>
          <w:rFonts w:ascii="Arial" w:hAnsi="Arial" w:cs="Arial"/>
        </w:rPr>
      </w:pPr>
    </w:p>
    <w:p w14:paraId="75FA4667" w14:textId="77777777" w:rsidR="003B68CA" w:rsidRDefault="003B68CA" w:rsidP="00C32A60">
      <w:pPr>
        <w:pStyle w:val="Heading1"/>
        <w:rPr>
          <w:rFonts w:ascii="Arial" w:hAnsi="Arial" w:cs="Arial"/>
        </w:rPr>
      </w:pPr>
    </w:p>
    <w:p w14:paraId="1D6BD4DB" w14:textId="77777777" w:rsidR="003B68CA" w:rsidRDefault="003B68CA" w:rsidP="00C32A60">
      <w:pPr>
        <w:pStyle w:val="Heading1"/>
        <w:rPr>
          <w:rFonts w:ascii="Arial" w:hAnsi="Arial" w:cs="Arial"/>
        </w:rPr>
      </w:pPr>
    </w:p>
    <w:p w14:paraId="4CD19DB7" w14:textId="77777777" w:rsidR="003B68CA" w:rsidRDefault="003B68CA" w:rsidP="00C32A60">
      <w:pPr>
        <w:pStyle w:val="Heading1"/>
        <w:rPr>
          <w:rFonts w:ascii="Arial" w:hAnsi="Arial" w:cs="Arial"/>
        </w:rPr>
      </w:pPr>
    </w:p>
    <w:p w14:paraId="209C4C40" w14:textId="77777777" w:rsidR="003B68CA" w:rsidRDefault="003B68CA" w:rsidP="00C32A60">
      <w:pPr>
        <w:pStyle w:val="Heading1"/>
        <w:rPr>
          <w:rFonts w:ascii="Arial" w:hAnsi="Arial" w:cs="Arial"/>
        </w:rPr>
      </w:pPr>
    </w:p>
    <w:p w14:paraId="2725F3C4" w14:textId="77777777" w:rsidR="003B68CA" w:rsidRDefault="003B68CA" w:rsidP="00C32A60">
      <w:pPr>
        <w:pStyle w:val="Heading1"/>
        <w:rPr>
          <w:rFonts w:ascii="Arial" w:hAnsi="Arial" w:cs="Arial"/>
        </w:rPr>
      </w:pPr>
    </w:p>
    <w:p w14:paraId="760568BD" w14:textId="77777777" w:rsidR="003B68CA" w:rsidRDefault="003B68CA" w:rsidP="00C32A60">
      <w:pPr>
        <w:pStyle w:val="Heading1"/>
        <w:rPr>
          <w:rFonts w:ascii="Arial" w:hAnsi="Arial" w:cs="Arial"/>
        </w:rPr>
      </w:pPr>
    </w:p>
    <w:p w14:paraId="488FFFE3" w14:textId="77777777" w:rsidR="003B68CA" w:rsidRDefault="003B68CA" w:rsidP="00C32A60">
      <w:pPr>
        <w:pStyle w:val="Heading1"/>
        <w:rPr>
          <w:rFonts w:ascii="Arial" w:hAnsi="Arial" w:cs="Arial"/>
        </w:rPr>
      </w:pPr>
    </w:p>
    <w:p w14:paraId="57589097" w14:textId="77777777" w:rsidR="003B68CA" w:rsidRDefault="003B68CA" w:rsidP="00C32A60">
      <w:pPr>
        <w:pStyle w:val="Heading1"/>
        <w:rPr>
          <w:rFonts w:ascii="Arial" w:hAnsi="Arial" w:cs="Arial"/>
        </w:rPr>
      </w:pPr>
    </w:p>
    <w:p w14:paraId="7BAFC49F" w14:textId="77777777" w:rsidR="003B68CA" w:rsidRDefault="003B68CA" w:rsidP="00C32A60">
      <w:pPr>
        <w:pStyle w:val="Heading1"/>
        <w:rPr>
          <w:rFonts w:ascii="Arial" w:hAnsi="Arial" w:cs="Arial"/>
        </w:rPr>
      </w:pPr>
    </w:p>
    <w:p w14:paraId="21170AD0" w14:textId="77777777" w:rsidR="003B68CA" w:rsidRDefault="003B68CA" w:rsidP="00C32A60">
      <w:pPr>
        <w:pStyle w:val="Heading1"/>
        <w:rPr>
          <w:rFonts w:ascii="Arial" w:hAnsi="Arial" w:cs="Arial"/>
        </w:rPr>
      </w:pPr>
    </w:p>
    <w:p w14:paraId="0C069B91" w14:textId="77777777" w:rsidR="007664D6" w:rsidRDefault="007664D6" w:rsidP="007664D6"/>
    <w:p w14:paraId="748AC085" w14:textId="77777777" w:rsidR="007664D6" w:rsidRPr="007664D6" w:rsidRDefault="007664D6" w:rsidP="007664D6"/>
    <w:p w14:paraId="0A08AD06" w14:textId="77777777" w:rsidR="003B68CA" w:rsidRDefault="003B68CA" w:rsidP="00C32A60">
      <w:pPr>
        <w:pStyle w:val="Heading1"/>
        <w:rPr>
          <w:rFonts w:ascii="Arial" w:hAnsi="Arial" w:cs="Arial"/>
        </w:rPr>
      </w:pPr>
    </w:p>
    <w:p w14:paraId="09E278A7" w14:textId="77777777" w:rsidR="003B68CA" w:rsidRDefault="003B68CA" w:rsidP="003B68CA"/>
    <w:p w14:paraId="503B5E5B" w14:textId="77777777" w:rsidR="003B68CA" w:rsidRDefault="003B68CA" w:rsidP="00C32A60">
      <w:pPr>
        <w:pStyle w:val="Heading1"/>
        <w:rPr>
          <w:rFonts w:ascii="Arial" w:hAnsi="Arial" w:cs="Arial"/>
        </w:rPr>
      </w:pPr>
    </w:p>
    <w:p w14:paraId="109FB209" w14:textId="77777777" w:rsidR="00C32A60" w:rsidRPr="00A15185" w:rsidRDefault="00C32A60" w:rsidP="00C32A60">
      <w:pPr>
        <w:pStyle w:val="Heading1"/>
        <w:rPr>
          <w:rFonts w:ascii="Arial" w:hAnsi="Arial" w:cs="Arial"/>
        </w:rPr>
      </w:pPr>
      <w:r w:rsidRPr="00A15185">
        <w:rPr>
          <w:rFonts w:ascii="Arial" w:hAnsi="Arial" w:cs="Arial"/>
        </w:rPr>
        <w:t>1.0 Introduction</w:t>
      </w:r>
    </w:p>
    <w:p w14:paraId="597DC91A" w14:textId="77777777" w:rsidR="00C32A60" w:rsidRDefault="00C32A60" w:rsidP="00C32A60">
      <w:pPr>
        <w:rPr>
          <w:rFonts w:ascii="Times New (W1)" w:hAnsi="Times New (W1)"/>
          <w:b/>
        </w:rPr>
      </w:pPr>
    </w:p>
    <w:p w14:paraId="4998CF60" w14:textId="77777777" w:rsidR="00C32A60" w:rsidRDefault="00C32A60" w:rsidP="00C32A60">
      <w:pPr>
        <w:pStyle w:val="BodyText"/>
        <w:rPr>
          <w:rFonts w:ascii="Arial" w:hAnsi="Arial" w:cs="Arial"/>
          <w:b w:val="0"/>
          <w:sz w:val="24"/>
        </w:rPr>
      </w:pPr>
      <w:r w:rsidRPr="00A15185">
        <w:rPr>
          <w:rFonts w:ascii="Arial" w:hAnsi="Arial" w:cs="Arial"/>
          <w:b w:val="0"/>
          <w:sz w:val="24"/>
        </w:rPr>
        <w:t xml:space="preserve">This document </w:t>
      </w:r>
      <w:r>
        <w:rPr>
          <w:rFonts w:ascii="Arial" w:hAnsi="Arial" w:cs="Arial"/>
          <w:b w:val="0"/>
          <w:sz w:val="24"/>
        </w:rPr>
        <w:t xml:space="preserve">details </w:t>
      </w:r>
      <w:r w:rsidR="00E67E96">
        <w:rPr>
          <w:rFonts w:ascii="Arial" w:hAnsi="Arial" w:cs="Arial"/>
          <w:b w:val="0"/>
          <w:sz w:val="24"/>
        </w:rPr>
        <w:t xml:space="preserve">Inverclyde Council’s Policy on </w:t>
      </w:r>
      <w:r w:rsidR="008D44AB">
        <w:rPr>
          <w:rFonts w:ascii="Arial" w:hAnsi="Arial" w:cs="Arial"/>
          <w:b w:val="0"/>
          <w:sz w:val="24"/>
        </w:rPr>
        <w:t>a</w:t>
      </w:r>
      <w:r w:rsidR="00E67E96">
        <w:rPr>
          <w:rFonts w:ascii="Arial" w:hAnsi="Arial" w:cs="Arial"/>
          <w:b w:val="0"/>
          <w:sz w:val="24"/>
        </w:rPr>
        <w:t xml:space="preserve"> Council Tax </w:t>
      </w:r>
      <w:r w:rsidR="00EB1B43">
        <w:rPr>
          <w:rFonts w:ascii="Arial" w:hAnsi="Arial" w:cs="Arial"/>
          <w:b w:val="0"/>
          <w:sz w:val="24"/>
        </w:rPr>
        <w:t>Increase (</w:t>
      </w:r>
      <w:r w:rsidR="00E67E96">
        <w:rPr>
          <w:rFonts w:ascii="Arial" w:hAnsi="Arial" w:cs="Arial"/>
          <w:b w:val="0"/>
          <w:sz w:val="24"/>
        </w:rPr>
        <w:t>Levy</w:t>
      </w:r>
      <w:r w:rsidR="00EB1B43">
        <w:rPr>
          <w:rFonts w:ascii="Arial" w:hAnsi="Arial" w:cs="Arial"/>
          <w:b w:val="0"/>
          <w:sz w:val="24"/>
        </w:rPr>
        <w:t>)</w:t>
      </w:r>
      <w:r w:rsidR="00E67E96">
        <w:rPr>
          <w:rFonts w:ascii="Arial" w:hAnsi="Arial" w:cs="Arial"/>
          <w:b w:val="0"/>
          <w:sz w:val="24"/>
        </w:rPr>
        <w:t xml:space="preserve"> on Long Term Empty (LTE) properties.</w:t>
      </w:r>
    </w:p>
    <w:p w14:paraId="0658630E" w14:textId="77777777" w:rsidR="00C32A60" w:rsidRPr="00A15185" w:rsidRDefault="00C32A60" w:rsidP="00C32A60">
      <w:pPr>
        <w:pStyle w:val="BodyText"/>
        <w:rPr>
          <w:rFonts w:ascii="Arial" w:hAnsi="Arial" w:cs="Arial"/>
          <w:b w:val="0"/>
          <w:sz w:val="24"/>
        </w:rPr>
      </w:pPr>
    </w:p>
    <w:p w14:paraId="07DCC703" w14:textId="77777777" w:rsidR="00C32A60" w:rsidRDefault="00C32A60" w:rsidP="00C32A60">
      <w:pPr>
        <w:pStyle w:val="BodyText"/>
        <w:rPr>
          <w:b w:val="0"/>
        </w:rPr>
      </w:pPr>
    </w:p>
    <w:p w14:paraId="3BCB7709" w14:textId="77777777" w:rsidR="00C32A60" w:rsidRPr="00A15185" w:rsidRDefault="00C32A60" w:rsidP="00C32A60">
      <w:pPr>
        <w:pStyle w:val="BodyText"/>
        <w:rPr>
          <w:rFonts w:ascii="Arial" w:hAnsi="Arial" w:cs="Arial"/>
          <w:sz w:val="24"/>
        </w:rPr>
      </w:pPr>
      <w:r w:rsidRPr="00A15185">
        <w:rPr>
          <w:rFonts w:ascii="Arial" w:hAnsi="Arial" w:cs="Arial"/>
          <w:sz w:val="24"/>
        </w:rPr>
        <w:t>2.0 Background</w:t>
      </w:r>
    </w:p>
    <w:p w14:paraId="07A26FE9" w14:textId="77777777" w:rsidR="00C32A60" w:rsidRDefault="00C32A60" w:rsidP="00C32A60">
      <w:pPr>
        <w:pStyle w:val="BodyText"/>
        <w:rPr>
          <w:b w:val="0"/>
        </w:rPr>
      </w:pPr>
    </w:p>
    <w:p w14:paraId="7DABF6BD" w14:textId="77777777" w:rsidR="00C32A60" w:rsidRDefault="00C32A60" w:rsidP="00DA579E">
      <w:pPr>
        <w:tabs>
          <w:tab w:val="left" w:pos="0"/>
          <w:tab w:val="left" w:pos="840"/>
          <w:tab w:val="left" w:pos="1200"/>
        </w:tabs>
        <w:jc w:val="both"/>
        <w:rPr>
          <w:rFonts w:ascii="Arial" w:hAnsi="Arial" w:cs="Arial"/>
        </w:rPr>
      </w:pPr>
      <w:r>
        <w:rPr>
          <w:rFonts w:ascii="Arial" w:hAnsi="Arial" w:cs="Arial"/>
        </w:rPr>
        <w:t xml:space="preserve">2.1 </w:t>
      </w:r>
      <w:r w:rsidR="00DA579E">
        <w:rPr>
          <w:rFonts w:ascii="Arial" w:hAnsi="Arial" w:cs="Arial"/>
        </w:rPr>
        <w:tab/>
      </w:r>
      <w:r w:rsidR="007F6D12">
        <w:rPr>
          <w:rFonts w:ascii="Arial" w:hAnsi="Arial" w:cs="Arial"/>
        </w:rPr>
        <w:t xml:space="preserve">The Council Tax (Variation for Unoccupied Dwellings) (Scotland) Regulations 2013 </w:t>
      </w:r>
      <w:r w:rsidR="007F6D12" w:rsidRPr="007F6D12">
        <w:rPr>
          <w:rFonts w:ascii="Arial" w:hAnsi="Arial" w:cs="Arial"/>
        </w:rPr>
        <w:t xml:space="preserve">provides local authorities with a discretionary power to remove the empty property discount or set a council tax increase of </w:t>
      </w:r>
      <w:r w:rsidR="005F45A3">
        <w:rPr>
          <w:rFonts w:ascii="Arial" w:hAnsi="Arial" w:cs="Arial"/>
        </w:rPr>
        <w:t xml:space="preserve">up to </w:t>
      </w:r>
      <w:r w:rsidR="007F6D12" w:rsidRPr="007F6D12">
        <w:rPr>
          <w:rFonts w:ascii="Arial" w:hAnsi="Arial" w:cs="Arial"/>
        </w:rPr>
        <w:t>100% on certain properties which have been empty for 1 year or more. Previously, local authorities were only able to vary the level of discounts, with a minimum discount of 10% for empty and second homes</w:t>
      </w:r>
      <w:r w:rsidR="007F6D12">
        <w:rPr>
          <w:sz w:val="23"/>
          <w:szCs w:val="23"/>
        </w:rPr>
        <w:t>.</w:t>
      </w:r>
    </w:p>
    <w:p w14:paraId="49259A3C" w14:textId="77777777" w:rsidR="00C32A60" w:rsidRDefault="00C32A60" w:rsidP="00C32A60">
      <w:pPr>
        <w:tabs>
          <w:tab w:val="left" w:pos="0"/>
          <w:tab w:val="left" w:pos="840"/>
          <w:tab w:val="left" w:pos="1200"/>
        </w:tabs>
        <w:jc w:val="both"/>
        <w:rPr>
          <w:rFonts w:ascii="Arial" w:hAnsi="Arial" w:cs="Arial"/>
        </w:rPr>
      </w:pPr>
    </w:p>
    <w:p w14:paraId="429AC717" w14:textId="77777777" w:rsidR="007F6D12" w:rsidRPr="00BC78AD" w:rsidRDefault="007F6D12" w:rsidP="00C32A60">
      <w:pPr>
        <w:tabs>
          <w:tab w:val="left" w:pos="0"/>
          <w:tab w:val="left" w:pos="840"/>
          <w:tab w:val="left" w:pos="1200"/>
        </w:tabs>
        <w:jc w:val="both"/>
        <w:rPr>
          <w:rFonts w:ascii="Arial" w:hAnsi="Arial" w:cs="Arial"/>
        </w:rPr>
      </w:pPr>
      <w:r>
        <w:rPr>
          <w:rFonts w:ascii="Arial" w:hAnsi="Arial" w:cs="Arial"/>
        </w:rPr>
        <w:t>2.2</w:t>
      </w:r>
      <w:r w:rsidR="00DA579E">
        <w:rPr>
          <w:rFonts w:ascii="Arial" w:hAnsi="Arial" w:cs="Arial"/>
        </w:rPr>
        <w:tab/>
      </w:r>
      <w:r>
        <w:rPr>
          <w:rFonts w:ascii="Arial" w:hAnsi="Arial" w:cs="Arial"/>
        </w:rPr>
        <w:t xml:space="preserve"> </w:t>
      </w:r>
      <w:r w:rsidRPr="00BC78AD">
        <w:rPr>
          <w:rFonts w:ascii="Arial" w:hAnsi="Arial" w:cs="Arial"/>
        </w:rPr>
        <w:t>The provision only applies to</w:t>
      </w:r>
      <w:r w:rsidR="00BC78AD" w:rsidRPr="00BC78AD">
        <w:rPr>
          <w:rFonts w:ascii="Arial" w:hAnsi="Arial" w:cs="Arial"/>
        </w:rPr>
        <w:t xml:space="preserve"> long-term unoccupied properties, not second homes.</w:t>
      </w:r>
    </w:p>
    <w:p w14:paraId="46D48849" w14:textId="77777777" w:rsidR="007F6D12" w:rsidRDefault="007F6D12" w:rsidP="00C32A60">
      <w:pPr>
        <w:tabs>
          <w:tab w:val="left" w:pos="0"/>
          <w:tab w:val="left" w:pos="840"/>
          <w:tab w:val="left" w:pos="1200"/>
        </w:tabs>
        <w:jc w:val="both"/>
        <w:rPr>
          <w:rFonts w:ascii="Arial" w:hAnsi="Arial" w:cs="Arial"/>
        </w:rPr>
      </w:pPr>
    </w:p>
    <w:p w14:paraId="627D2492" w14:textId="77777777" w:rsidR="007F6D12" w:rsidRDefault="007F6D12" w:rsidP="00C32A60">
      <w:pPr>
        <w:tabs>
          <w:tab w:val="left" w:pos="0"/>
          <w:tab w:val="left" w:pos="840"/>
          <w:tab w:val="left" w:pos="1200"/>
        </w:tabs>
        <w:jc w:val="both"/>
        <w:rPr>
          <w:sz w:val="23"/>
          <w:szCs w:val="23"/>
        </w:rPr>
      </w:pPr>
      <w:r>
        <w:rPr>
          <w:rFonts w:ascii="Arial" w:hAnsi="Arial" w:cs="Arial"/>
        </w:rPr>
        <w:t xml:space="preserve">2.3 </w:t>
      </w:r>
      <w:r w:rsidR="00DA579E">
        <w:rPr>
          <w:rFonts w:ascii="Arial" w:hAnsi="Arial" w:cs="Arial"/>
        </w:rPr>
        <w:tab/>
      </w:r>
      <w:r w:rsidRPr="007F6D12">
        <w:rPr>
          <w:rFonts w:ascii="Arial" w:hAnsi="Arial" w:cs="Arial"/>
        </w:rPr>
        <w:t>This greater flexibility is intended as an additional tool to help local authorities encourage owners to bring empty properties back into use, both to increase the supply of housing for those who need homes and to reduce the blight on communities caused by houses being left empty and allowed to fall into disrepair. The council tax increase could be used as part of a wider approach to tackle long-term empty homes including support and guidance to owners and provision of loans or grants if available</w:t>
      </w:r>
      <w:r>
        <w:rPr>
          <w:sz w:val="23"/>
          <w:szCs w:val="23"/>
        </w:rPr>
        <w:t>.</w:t>
      </w:r>
    </w:p>
    <w:p w14:paraId="75F0DCE3" w14:textId="77777777" w:rsidR="007F6D12" w:rsidRDefault="007F6D12" w:rsidP="00C32A60">
      <w:pPr>
        <w:tabs>
          <w:tab w:val="left" w:pos="0"/>
          <w:tab w:val="left" w:pos="840"/>
          <w:tab w:val="left" w:pos="1200"/>
        </w:tabs>
        <w:jc w:val="both"/>
        <w:rPr>
          <w:sz w:val="23"/>
          <w:szCs w:val="23"/>
        </w:rPr>
      </w:pPr>
    </w:p>
    <w:p w14:paraId="3456E73A" w14:textId="77777777" w:rsidR="007F6D12" w:rsidRDefault="007F6D12" w:rsidP="00C32A60">
      <w:pPr>
        <w:tabs>
          <w:tab w:val="left" w:pos="0"/>
          <w:tab w:val="left" w:pos="840"/>
          <w:tab w:val="left" w:pos="1200"/>
        </w:tabs>
        <w:jc w:val="both"/>
        <w:rPr>
          <w:rFonts w:ascii="Arial" w:hAnsi="Arial" w:cs="Arial"/>
        </w:rPr>
      </w:pPr>
      <w:r w:rsidRPr="007F6D12">
        <w:rPr>
          <w:rFonts w:ascii="Arial" w:hAnsi="Arial" w:cs="Arial"/>
        </w:rPr>
        <w:t>2.4</w:t>
      </w:r>
      <w:r>
        <w:rPr>
          <w:sz w:val="23"/>
          <w:szCs w:val="23"/>
        </w:rPr>
        <w:t xml:space="preserve"> </w:t>
      </w:r>
      <w:r w:rsidR="00DA579E">
        <w:rPr>
          <w:sz w:val="23"/>
          <w:szCs w:val="23"/>
        </w:rPr>
        <w:tab/>
      </w:r>
      <w:r w:rsidRPr="007F6D12">
        <w:rPr>
          <w:rFonts w:ascii="Arial" w:hAnsi="Arial" w:cs="Arial"/>
        </w:rPr>
        <w:t xml:space="preserve">For eligible unoccupied properties, local authorities can set a discount of between </w:t>
      </w:r>
      <w:r w:rsidR="00630E0F">
        <w:rPr>
          <w:rFonts w:ascii="Arial" w:hAnsi="Arial" w:cs="Arial"/>
        </w:rPr>
        <w:t xml:space="preserve">0% and </w:t>
      </w:r>
      <w:r w:rsidRPr="007F6D12">
        <w:rPr>
          <w:rFonts w:ascii="Arial" w:hAnsi="Arial" w:cs="Arial"/>
        </w:rPr>
        <w:t xml:space="preserve">50% or an increase of up to 100%. The provision also gives local authorities discretion to vary the council tax charged for different circumstances, and to apply discounts or increases in all or part of their areas. This can be done by using </w:t>
      </w:r>
      <w:r w:rsidR="00241238" w:rsidRPr="007F6D12">
        <w:rPr>
          <w:rFonts w:ascii="Arial" w:hAnsi="Arial" w:cs="Arial"/>
        </w:rPr>
        <w:t>postcode</w:t>
      </w:r>
      <w:r w:rsidRPr="007F6D12">
        <w:rPr>
          <w:rFonts w:ascii="Arial" w:hAnsi="Arial" w:cs="Arial"/>
        </w:rPr>
        <w:t xml:space="preserve"> boundaries, council wards or data</w:t>
      </w:r>
      <w:r w:rsidR="005F45A3">
        <w:rPr>
          <w:rFonts w:ascii="Arial" w:hAnsi="Arial" w:cs="Arial"/>
        </w:rPr>
        <w:t xml:space="preserve"> </w:t>
      </w:r>
      <w:r w:rsidRPr="007F6D12">
        <w:rPr>
          <w:rFonts w:ascii="Arial" w:hAnsi="Arial" w:cs="Arial"/>
        </w:rPr>
        <w:t xml:space="preserve">zones. This could include charging different rates for a variety of different reasons as a local authority considers </w:t>
      </w:r>
      <w:proofErr w:type="gramStart"/>
      <w:r w:rsidRPr="007F6D12">
        <w:rPr>
          <w:rFonts w:ascii="Arial" w:hAnsi="Arial" w:cs="Arial"/>
        </w:rPr>
        <w:t>appropriate, and</w:t>
      </w:r>
      <w:proofErr w:type="gramEnd"/>
      <w:r w:rsidRPr="007F6D12">
        <w:rPr>
          <w:rFonts w:ascii="Arial" w:hAnsi="Arial" w:cs="Arial"/>
        </w:rPr>
        <w:t xml:space="preserve"> is intended to recognise that different pressures and factors will affect different areas.</w:t>
      </w:r>
    </w:p>
    <w:p w14:paraId="04F1722B" w14:textId="77777777" w:rsidR="00A60D70" w:rsidRDefault="00A60D70" w:rsidP="00C32A60">
      <w:pPr>
        <w:tabs>
          <w:tab w:val="left" w:pos="0"/>
          <w:tab w:val="left" w:pos="840"/>
          <w:tab w:val="left" w:pos="1200"/>
        </w:tabs>
        <w:jc w:val="both"/>
        <w:rPr>
          <w:rFonts w:ascii="Arial" w:hAnsi="Arial" w:cs="Arial"/>
        </w:rPr>
      </w:pPr>
    </w:p>
    <w:p w14:paraId="3DB583C8" w14:textId="77777777" w:rsidR="00A60D70" w:rsidRPr="00A60D70" w:rsidRDefault="00A60D70" w:rsidP="00C32A60">
      <w:pPr>
        <w:tabs>
          <w:tab w:val="left" w:pos="0"/>
          <w:tab w:val="left" w:pos="840"/>
          <w:tab w:val="left" w:pos="1200"/>
        </w:tabs>
        <w:jc w:val="both"/>
        <w:rPr>
          <w:rFonts w:ascii="Arial" w:hAnsi="Arial" w:cs="Arial"/>
          <w:color w:val="FF0000"/>
        </w:rPr>
      </w:pPr>
      <w:r w:rsidRPr="00F9244D">
        <w:rPr>
          <w:rFonts w:ascii="Arial" w:hAnsi="Arial" w:cs="Arial"/>
        </w:rPr>
        <w:t>2.5</w:t>
      </w:r>
      <w:r w:rsidRPr="00F9244D">
        <w:rPr>
          <w:rFonts w:ascii="Arial" w:hAnsi="Arial" w:cs="Arial"/>
        </w:rPr>
        <w:tab/>
      </w:r>
      <w:r w:rsidR="00BC78AD" w:rsidRPr="00F9244D">
        <w:rPr>
          <w:rFonts w:ascii="Arial" w:hAnsi="Arial" w:cs="Arial"/>
        </w:rPr>
        <w:t>G</w:t>
      </w:r>
      <w:r w:rsidRPr="00F9244D">
        <w:rPr>
          <w:rFonts w:ascii="Arial" w:hAnsi="Arial" w:cs="Arial"/>
        </w:rPr>
        <w:t xml:space="preserve">uidance </w:t>
      </w:r>
      <w:r w:rsidR="00F9244D" w:rsidRPr="00F9244D">
        <w:rPr>
          <w:rFonts w:ascii="Arial" w:hAnsi="Arial" w:cs="Arial"/>
        </w:rPr>
        <w:t>has been</w:t>
      </w:r>
      <w:r w:rsidR="00BC78AD" w:rsidRPr="00F9244D">
        <w:rPr>
          <w:rFonts w:ascii="Arial" w:hAnsi="Arial" w:cs="Arial"/>
        </w:rPr>
        <w:t xml:space="preserve"> </w:t>
      </w:r>
      <w:r w:rsidRPr="00F9244D">
        <w:rPr>
          <w:rFonts w:ascii="Arial" w:hAnsi="Arial" w:cs="Arial"/>
        </w:rPr>
        <w:t xml:space="preserve">issued by the Scottish Government in relation to the allowable flexibility available to </w:t>
      </w:r>
      <w:r w:rsidR="00BC78AD" w:rsidRPr="00F9244D">
        <w:rPr>
          <w:rFonts w:ascii="Arial" w:hAnsi="Arial" w:cs="Arial"/>
        </w:rPr>
        <w:t>ensure that authorities d</w:t>
      </w:r>
      <w:r w:rsidR="00630E0F">
        <w:rPr>
          <w:rFonts w:ascii="Arial" w:hAnsi="Arial" w:cs="Arial"/>
        </w:rPr>
        <w:t>o</w:t>
      </w:r>
      <w:r w:rsidRPr="00F9244D">
        <w:rPr>
          <w:rFonts w:ascii="Arial" w:hAnsi="Arial" w:cs="Arial"/>
        </w:rPr>
        <w:t xml:space="preserve"> not unfairly penalise owners who are justified in leaving their dwelling unoccupied or where there are reasons why the dwelling could not be lived in, </w:t>
      </w:r>
      <w:proofErr w:type="gramStart"/>
      <w:r w:rsidRPr="00F9244D">
        <w:rPr>
          <w:rFonts w:ascii="Arial" w:hAnsi="Arial" w:cs="Arial"/>
        </w:rPr>
        <w:t>sold</w:t>
      </w:r>
      <w:proofErr w:type="gramEnd"/>
      <w:r w:rsidRPr="00F9244D">
        <w:rPr>
          <w:rFonts w:ascii="Arial" w:hAnsi="Arial" w:cs="Arial"/>
        </w:rPr>
        <w:t xml:space="preserve"> or let</w:t>
      </w:r>
      <w:r w:rsidRPr="00357AC5">
        <w:rPr>
          <w:rFonts w:ascii="Arial" w:hAnsi="Arial" w:cs="Arial"/>
          <w:color w:val="FF0000"/>
        </w:rPr>
        <w:t>.</w:t>
      </w:r>
      <w:r w:rsidRPr="00A60D70">
        <w:rPr>
          <w:color w:val="FF0000"/>
          <w:sz w:val="23"/>
          <w:szCs w:val="23"/>
        </w:rPr>
        <w:t xml:space="preserve"> </w:t>
      </w:r>
      <w:r w:rsidRPr="00A60D70">
        <w:rPr>
          <w:rFonts w:ascii="Arial" w:hAnsi="Arial" w:cs="Arial"/>
          <w:color w:val="FF0000"/>
        </w:rPr>
        <w:t xml:space="preserve"> </w:t>
      </w:r>
    </w:p>
    <w:p w14:paraId="778D7747" w14:textId="77777777" w:rsidR="006A3313" w:rsidRDefault="006A3313" w:rsidP="00C32A60">
      <w:pPr>
        <w:rPr>
          <w:rFonts w:ascii="Arial" w:hAnsi="Arial" w:cs="Arial"/>
        </w:rPr>
      </w:pPr>
    </w:p>
    <w:p w14:paraId="0925E704" w14:textId="77777777" w:rsidR="00BD2164" w:rsidRDefault="00BD2164" w:rsidP="00C32A60">
      <w:pPr>
        <w:rPr>
          <w:rFonts w:ascii="Arial" w:hAnsi="Arial" w:cs="Arial"/>
        </w:rPr>
      </w:pPr>
    </w:p>
    <w:p w14:paraId="0E1C40A0" w14:textId="77777777" w:rsidR="00BD2164" w:rsidRDefault="00BD2164" w:rsidP="00C32A60">
      <w:pPr>
        <w:rPr>
          <w:rFonts w:ascii="Arial" w:hAnsi="Arial" w:cs="Arial"/>
        </w:rPr>
      </w:pPr>
    </w:p>
    <w:p w14:paraId="6CE7E821" w14:textId="77777777" w:rsidR="00BD2164" w:rsidRDefault="00BD2164" w:rsidP="00C32A60">
      <w:pPr>
        <w:rPr>
          <w:rFonts w:ascii="Arial" w:hAnsi="Arial" w:cs="Arial"/>
        </w:rPr>
      </w:pPr>
    </w:p>
    <w:p w14:paraId="17C12810" w14:textId="77777777" w:rsidR="00BD2164" w:rsidRDefault="00BD2164" w:rsidP="00C32A60">
      <w:pPr>
        <w:rPr>
          <w:rFonts w:ascii="Arial" w:hAnsi="Arial" w:cs="Arial"/>
        </w:rPr>
      </w:pPr>
    </w:p>
    <w:p w14:paraId="682A9AD8" w14:textId="77777777" w:rsidR="00BD2164" w:rsidRDefault="00BD2164" w:rsidP="00C32A60">
      <w:pPr>
        <w:rPr>
          <w:rFonts w:ascii="Arial" w:hAnsi="Arial" w:cs="Arial"/>
        </w:rPr>
      </w:pPr>
    </w:p>
    <w:p w14:paraId="458330AD" w14:textId="77777777" w:rsidR="0084622B" w:rsidRDefault="0084622B" w:rsidP="00C32A60">
      <w:pPr>
        <w:rPr>
          <w:rFonts w:ascii="Arial" w:hAnsi="Arial" w:cs="Arial"/>
        </w:rPr>
      </w:pPr>
    </w:p>
    <w:p w14:paraId="54EF3F61" w14:textId="77777777" w:rsidR="00A60D70" w:rsidRDefault="00A60D70" w:rsidP="00C32A60"/>
    <w:p w14:paraId="795F409B" w14:textId="77777777" w:rsidR="00241238" w:rsidRDefault="00C32A60" w:rsidP="00241238">
      <w:pPr>
        <w:rPr>
          <w:rFonts w:ascii="Arial" w:hAnsi="Arial" w:cs="Arial"/>
        </w:rPr>
      </w:pPr>
      <w:r w:rsidRPr="00A15185">
        <w:rPr>
          <w:rFonts w:ascii="Arial" w:hAnsi="Arial" w:cs="Arial"/>
          <w:b/>
        </w:rPr>
        <w:lastRenderedPageBreak/>
        <w:t>3.0</w:t>
      </w:r>
      <w:r w:rsidRPr="00A15185">
        <w:rPr>
          <w:rFonts w:ascii="Arial" w:hAnsi="Arial" w:cs="Arial"/>
          <w:b/>
        </w:rPr>
        <w:tab/>
      </w:r>
      <w:r w:rsidR="00241238" w:rsidRPr="00241238">
        <w:rPr>
          <w:rFonts w:ascii="Arial" w:hAnsi="Arial" w:cs="Arial"/>
          <w:b/>
        </w:rPr>
        <w:t>Unoccupied Dwellings</w:t>
      </w:r>
    </w:p>
    <w:p w14:paraId="563E6861" w14:textId="77777777" w:rsidR="00C32A60" w:rsidRDefault="00C32A60" w:rsidP="00C32A60">
      <w:pPr>
        <w:rPr>
          <w:rFonts w:ascii="Arial" w:hAnsi="Arial" w:cs="Arial"/>
          <w:b/>
          <w:sz w:val="28"/>
          <w:szCs w:val="28"/>
        </w:rPr>
      </w:pPr>
    </w:p>
    <w:p w14:paraId="333724A2" w14:textId="77777777" w:rsidR="003B68CA" w:rsidRDefault="00241238" w:rsidP="00C32A60">
      <w:pPr>
        <w:rPr>
          <w:rFonts w:ascii="Arial" w:hAnsi="Arial" w:cs="Arial"/>
        </w:rPr>
      </w:pPr>
      <w:r>
        <w:rPr>
          <w:rFonts w:ascii="Arial" w:hAnsi="Arial" w:cs="Arial"/>
        </w:rPr>
        <w:t>3.1</w:t>
      </w:r>
      <w:r>
        <w:rPr>
          <w:rFonts w:ascii="Arial" w:hAnsi="Arial" w:cs="Arial"/>
        </w:rPr>
        <w:tab/>
      </w:r>
      <w:r w:rsidRPr="00241238">
        <w:rPr>
          <w:rFonts w:ascii="Arial" w:hAnsi="Arial" w:cs="Arial"/>
        </w:rPr>
        <w:t xml:space="preserve">The council tax increase can be applied to homes which have been unoccupied for 1 year or more. An unoccupied dwelling is any dwelling which is not someone’s sole or main </w:t>
      </w:r>
      <w:proofErr w:type="gramStart"/>
      <w:r w:rsidRPr="00241238">
        <w:rPr>
          <w:rFonts w:ascii="Arial" w:hAnsi="Arial" w:cs="Arial"/>
        </w:rPr>
        <w:t>residence, but</w:t>
      </w:r>
      <w:proofErr w:type="gramEnd"/>
      <w:r w:rsidRPr="00241238">
        <w:rPr>
          <w:rFonts w:ascii="Arial" w:hAnsi="Arial" w:cs="Arial"/>
        </w:rPr>
        <w:t xml:space="preserve"> does not fall within the definition of a second home</w:t>
      </w:r>
      <w:r w:rsidR="00D15248">
        <w:rPr>
          <w:rFonts w:ascii="Arial" w:hAnsi="Arial" w:cs="Arial"/>
        </w:rPr>
        <w:t>.</w:t>
      </w:r>
      <w:r w:rsidRPr="00241238">
        <w:rPr>
          <w:rFonts w:ascii="Arial" w:hAnsi="Arial" w:cs="Arial"/>
        </w:rPr>
        <w:t xml:space="preserve">  An unoccupied dwelling may be either furnished or unfurnished but is either not lived in at all or is lived in for less than 25 days in any </w:t>
      </w:r>
      <w:proofErr w:type="gramStart"/>
      <w:r w:rsidRPr="00241238">
        <w:rPr>
          <w:rFonts w:ascii="Arial" w:hAnsi="Arial" w:cs="Arial"/>
        </w:rPr>
        <w:t>twelve month</w:t>
      </w:r>
      <w:proofErr w:type="gramEnd"/>
      <w:r w:rsidRPr="00241238">
        <w:rPr>
          <w:rFonts w:ascii="Arial" w:hAnsi="Arial" w:cs="Arial"/>
        </w:rPr>
        <w:t xml:space="preserve"> period</w:t>
      </w:r>
      <w:r w:rsidR="00622854">
        <w:rPr>
          <w:rFonts w:ascii="Arial" w:hAnsi="Arial" w:cs="Arial"/>
        </w:rPr>
        <w:t>.</w:t>
      </w:r>
    </w:p>
    <w:p w14:paraId="65853B0F" w14:textId="77777777" w:rsidR="00622854" w:rsidRDefault="00622854" w:rsidP="00C32A60">
      <w:pPr>
        <w:rPr>
          <w:rFonts w:ascii="Arial" w:hAnsi="Arial" w:cs="Arial"/>
        </w:rPr>
      </w:pPr>
    </w:p>
    <w:p w14:paraId="433790FB" w14:textId="77777777" w:rsidR="00622854" w:rsidRDefault="00F9244D" w:rsidP="00A60D70">
      <w:pPr>
        <w:rPr>
          <w:rFonts w:ascii="Arial" w:hAnsi="Arial" w:cs="Arial"/>
        </w:rPr>
      </w:pPr>
      <w:r>
        <w:rPr>
          <w:rFonts w:ascii="Arial" w:hAnsi="Arial" w:cs="Arial"/>
        </w:rPr>
        <w:t>3.2</w:t>
      </w:r>
      <w:r>
        <w:rPr>
          <w:rFonts w:ascii="Arial" w:hAnsi="Arial" w:cs="Arial"/>
          <w:color w:val="FF0000"/>
        </w:rPr>
        <w:tab/>
      </w:r>
      <w:r w:rsidR="00710F73" w:rsidRPr="00A60D70">
        <w:rPr>
          <w:rFonts w:ascii="Arial" w:hAnsi="Arial" w:cs="Arial"/>
        </w:rPr>
        <w:t xml:space="preserve">The </w:t>
      </w:r>
      <w:r w:rsidR="00D15248">
        <w:rPr>
          <w:rFonts w:ascii="Arial" w:hAnsi="Arial" w:cs="Arial"/>
        </w:rPr>
        <w:t>council tax increase</w:t>
      </w:r>
      <w:r w:rsidR="00710F73" w:rsidRPr="00A60D70">
        <w:rPr>
          <w:rFonts w:ascii="Arial" w:hAnsi="Arial" w:cs="Arial"/>
        </w:rPr>
        <w:t xml:space="preserve"> does not apply</w:t>
      </w:r>
      <w:r w:rsidR="00622854" w:rsidRPr="00A60D70">
        <w:rPr>
          <w:rFonts w:ascii="Arial" w:hAnsi="Arial" w:cs="Arial"/>
        </w:rPr>
        <w:t xml:space="preserve"> to water </w:t>
      </w:r>
      <w:r w:rsidR="00B13F9A" w:rsidRPr="00A60D70">
        <w:rPr>
          <w:rFonts w:ascii="Arial" w:hAnsi="Arial" w:cs="Arial"/>
        </w:rPr>
        <w:t>and sewerage charges.</w:t>
      </w:r>
    </w:p>
    <w:p w14:paraId="45C1C18E" w14:textId="77777777" w:rsidR="00D15248" w:rsidRPr="00F9244D" w:rsidRDefault="00D15248" w:rsidP="00A60D70">
      <w:pPr>
        <w:rPr>
          <w:rFonts w:ascii="Arial" w:hAnsi="Arial" w:cs="Arial"/>
          <w:color w:val="FF0000"/>
        </w:rPr>
      </w:pPr>
    </w:p>
    <w:p w14:paraId="352B2C4B" w14:textId="77777777" w:rsidR="003B68CA" w:rsidRPr="003B68CA" w:rsidRDefault="00710F73" w:rsidP="00C32A60">
      <w:pPr>
        <w:rPr>
          <w:rFonts w:ascii="Arial" w:hAnsi="Arial" w:cs="Arial"/>
        </w:rPr>
      </w:pPr>
      <w:r>
        <w:rPr>
          <w:rFonts w:ascii="Arial" w:hAnsi="Arial" w:cs="Arial"/>
        </w:rPr>
        <w:t xml:space="preserve"> </w:t>
      </w:r>
    </w:p>
    <w:p w14:paraId="544F0C91" w14:textId="77777777" w:rsidR="005D13CD" w:rsidRPr="00622854" w:rsidRDefault="00622854" w:rsidP="00C32A60">
      <w:pPr>
        <w:rPr>
          <w:rFonts w:ascii="Arial" w:hAnsi="Arial"/>
          <w:b/>
        </w:rPr>
      </w:pPr>
      <w:r w:rsidRPr="00622854">
        <w:rPr>
          <w:rFonts w:ascii="Arial" w:hAnsi="Arial"/>
          <w:b/>
        </w:rPr>
        <w:t>4.0</w:t>
      </w:r>
      <w:r w:rsidRPr="00622854">
        <w:rPr>
          <w:rFonts w:ascii="Arial" w:hAnsi="Arial"/>
          <w:b/>
        </w:rPr>
        <w:tab/>
        <w:t>Second Homes</w:t>
      </w:r>
    </w:p>
    <w:p w14:paraId="77A1EFEA" w14:textId="77777777" w:rsidR="00110C8C" w:rsidRDefault="00110C8C" w:rsidP="00C32A60">
      <w:pPr>
        <w:rPr>
          <w:rFonts w:ascii="Arial" w:hAnsi="Arial"/>
        </w:rPr>
      </w:pPr>
    </w:p>
    <w:p w14:paraId="1A7DCAAA" w14:textId="77777777" w:rsidR="00622854" w:rsidRDefault="00622854" w:rsidP="00622854">
      <w:pPr>
        <w:pStyle w:val="Default"/>
        <w:rPr>
          <w:sz w:val="23"/>
          <w:szCs w:val="23"/>
        </w:rPr>
      </w:pPr>
      <w:r w:rsidRPr="00622854">
        <w:t>4.1</w:t>
      </w:r>
      <w:r w:rsidRPr="00622854">
        <w:tab/>
        <w:t xml:space="preserve">The council tax increase will not apply to </w:t>
      </w:r>
      <w:proofErr w:type="gramStart"/>
      <w:r w:rsidRPr="00622854">
        <w:t>second-homes</w:t>
      </w:r>
      <w:proofErr w:type="gramEnd"/>
      <w:r w:rsidRPr="00622854">
        <w:t xml:space="preserve">. In general, </w:t>
      </w:r>
      <w:proofErr w:type="gramStart"/>
      <w:r w:rsidRPr="00622854">
        <w:t>second-homes</w:t>
      </w:r>
      <w:proofErr w:type="gramEnd"/>
      <w:r w:rsidRPr="00622854">
        <w:t xml:space="preserve"> are maintained well and are occupied for periods of the year when their owners contribute to the local economy</w:t>
      </w:r>
      <w:r>
        <w:rPr>
          <w:sz w:val="23"/>
          <w:szCs w:val="23"/>
        </w:rPr>
        <w:t xml:space="preserve">. </w:t>
      </w:r>
    </w:p>
    <w:p w14:paraId="66D48989" w14:textId="77777777" w:rsidR="00622854" w:rsidRDefault="00622854" w:rsidP="00622854">
      <w:pPr>
        <w:pStyle w:val="Default"/>
        <w:rPr>
          <w:sz w:val="23"/>
          <w:szCs w:val="23"/>
        </w:rPr>
      </w:pPr>
    </w:p>
    <w:p w14:paraId="02AD4C4D" w14:textId="77777777" w:rsidR="00622854" w:rsidRDefault="00622854" w:rsidP="00622854">
      <w:pPr>
        <w:pStyle w:val="Default"/>
      </w:pPr>
      <w:r w:rsidRPr="00622854">
        <w:t>4.2</w:t>
      </w:r>
      <w:r w:rsidRPr="00622854">
        <w:tab/>
        <w:t xml:space="preserve">Under the new legislation, a second home is defined as being furnished and lived in for at least 25 days in any </w:t>
      </w:r>
      <w:proofErr w:type="gramStart"/>
      <w:r w:rsidRPr="00622854">
        <w:t>twelve month</w:t>
      </w:r>
      <w:proofErr w:type="gramEnd"/>
      <w:r w:rsidRPr="00622854">
        <w:t xml:space="preserve"> period, but not as someone’s sole or main residence. This aims to ensure that only homes which are likely to be reasonably well maintained and which the owner is likely to visit regularly (and therefore make some contribution to the local economy) can qualify as a second home. </w:t>
      </w:r>
    </w:p>
    <w:p w14:paraId="4D54DF4B" w14:textId="77777777" w:rsidR="006A3313" w:rsidRDefault="006A3313" w:rsidP="00622854">
      <w:pPr>
        <w:pStyle w:val="Default"/>
      </w:pPr>
    </w:p>
    <w:p w14:paraId="4C07185D" w14:textId="77777777" w:rsidR="00A60D70" w:rsidRDefault="00EB1B43" w:rsidP="00622854">
      <w:pPr>
        <w:pStyle w:val="Default"/>
      </w:pPr>
      <w:r>
        <w:t>4.3</w:t>
      </w:r>
      <w:r w:rsidR="006A3313">
        <w:tab/>
      </w:r>
      <w:r w:rsidR="008D44AB">
        <w:t>The Council</w:t>
      </w:r>
      <w:r w:rsidR="00622854" w:rsidRPr="00622854">
        <w:t xml:space="preserve"> will not be able to charge a council tax increase for second homes but will, as was previously the case, have flexibility to set a discount level of between </w:t>
      </w:r>
    </w:p>
    <w:p w14:paraId="473E89A4" w14:textId="77777777" w:rsidR="00F9244D" w:rsidRDefault="00EB1B43" w:rsidP="00F9244D">
      <w:pPr>
        <w:pStyle w:val="Default"/>
        <w:rPr>
          <w:color w:val="auto"/>
        </w:rPr>
      </w:pPr>
      <w:r>
        <w:rPr>
          <w:color w:val="auto"/>
        </w:rPr>
        <w:t>0%</w:t>
      </w:r>
      <w:r w:rsidR="00F9244D">
        <w:rPr>
          <w:color w:val="auto"/>
        </w:rPr>
        <w:t xml:space="preserve"> and </w:t>
      </w:r>
      <w:r w:rsidR="00622854" w:rsidRPr="00F9244D">
        <w:rPr>
          <w:color w:val="auto"/>
        </w:rPr>
        <w:t xml:space="preserve">50%. </w:t>
      </w:r>
      <w:r w:rsidR="00B13F9A" w:rsidRPr="00F9244D">
        <w:rPr>
          <w:color w:val="auto"/>
        </w:rPr>
        <w:t xml:space="preserve"> </w:t>
      </w:r>
      <w:r w:rsidR="00F9244D">
        <w:rPr>
          <w:color w:val="auto"/>
        </w:rPr>
        <w:t xml:space="preserve">  </w:t>
      </w:r>
      <w:r w:rsidR="00D15248">
        <w:rPr>
          <w:color w:val="auto"/>
        </w:rPr>
        <w:t xml:space="preserve"> The second home discount level set by Inverclyde Council from 1</w:t>
      </w:r>
      <w:r w:rsidR="00D15248" w:rsidRPr="00D15248">
        <w:rPr>
          <w:color w:val="auto"/>
          <w:vertAlign w:val="superscript"/>
        </w:rPr>
        <w:t>st</w:t>
      </w:r>
      <w:r w:rsidR="00D15248">
        <w:rPr>
          <w:color w:val="auto"/>
        </w:rPr>
        <w:t xml:space="preserve"> April 2017 is 0%, prior to 1</w:t>
      </w:r>
      <w:r w:rsidR="00D15248" w:rsidRPr="00D15248">
        <w:rPr>
          <w:color w:val="auto"/>
          <w:vertAlign w:val="superscript"/>
        </w:rPr>
        <w:t>st</w:t>
      </w:r>
      <w:r w:rsidR="00D15248">
        <w:rPr>
          <w:color w:val="auto"/>
        </w:rPr>
        <w:t xml:space="preserve"> April 2017 the level was set at 10%.</w:t>
      </w:r>
    </w:p>
    <w:p w14:paraId="45333AF5" w14:textId="77777777" w:rsidR="00622854" w:rsidRDefault="00622854" w:rsidP="00622854">
      <w:pPr>
        <w:pStyle w:val="Default"/>
        <w:rPr>
          <w:sz w:val="23"/>
          <w:szCs w:val="23"/>
        </w:rPr>
      </w:pPr>
    </w:p>
    <w:p w14:paraId="5969B5CC" w14:textId="77777777" w:rsidR="007C22B3" w:rsidRPr="00710F73" w:rsidRDefault="00622854" w:rsidP="00622854">
      <w:pPr>
        <w:rPr>
          <w:rFonts w:ascii="Arial" w:hAnsi="Arial" w:cs="Arial"/>
          <w:color w:val="FF0000"/>
        </w:rPr>
      </w:pPr>
      <w:r w:rsidRPr="00622854">
        <w:rPr>
          <w:rFonts w:ascii="Arial" w:hAnsi="Arial" w:cs="Arial"/>
        </w:rPr>
        <w:t>4.</w:t>
      </w:r>
      <w:r w:rsidR="00EB1B43">
        <w:rPr>
          <w:rFonts w:ascii="Arial" w:hAnsi="Arial" w:cs="Arial"/>
        </w:rPr>
        <w:t>4</w:t>
      </w:r>
      <w:r w:rsidRPr="00622854">
        <w:rPr>
          <w:rFonts w:ascii="Arial" w:hAnsi="Arial" w:cs="Arial"/>
        </w:rPr>
        <w:tab/>
        <w:t xml:space="preserve">It will be for owners to prove that their property is a genuine second home and </w:t>
      </w:r>
      <w:r w:rsidR="00172A39">
        <w:rPr>
          <w:rFonts w:ascii="Arial" w:hAnsi="Arial" w:cs="Arial"/>
        </w:rPr>
        <w:t xml:space="preserve">need to provide </w:t>
      </w:r>
      <w:r w:rsidRPr="00622854">
        <w:rPr>
          <w:rFonts w:ascii="Arial" w:hAnsi="Arial" w:cs="Arial"/>
        </w:rPr>
        <w:t xml:space="preserve">evidence </w:t>
      </w:r>
      <w:r w:rsidR="00172A39">
        <w:rPr>
          <w:rFonts w:ascii="Arial" w:hAnsi="Arial" w:cs="Arial"/>
        </w:rPr>
        <w:t>to substantiate their claim</w:t>
      </w:r>
      <w:r w:rsidRPr="00622854">
        <w:rPr>
          <w:rFonts w:ascii="Arial" w:hAnsi="Arial" w:cs="Arial"/>
        </w:rPr>
        <w:t xml:space="preserve">. </w:t>
      </w:r>
      <w:r w:rsidR="00172A39">
        <w:rPr>
          <w:rFonts w:ascii="Arial" w:hAnsi="Arial" w:cs="Arial"/>
        </w:rPr>
        <w:t>E</w:t>
      </w:r>
      <w:r w:rsidRPr="00622854">
        <w:rPr>
          <w:rFonts w:ascii="Arial" w:hAnsi="Arial" w:cs="Arial"/>
        </w:rPr>
        <w:t xml:space="preserve">vidence </w:t>
      </w:r>
      <w:r w:rsidR="00172A39">
        <w:rPr>
          <w:rFonts w:ascii="Arial" w:hAnsi="Arial" w:cs="Arial"/>
        </w:rPr>
        <w:t xml:space="preserve">provided may be </w:t>
      </w:r>
      <w:r w:rsidRPr="00622854">
        <w:rPr>
          <w:rFonts w:ascii="Arial" w:hAnsi="Arial" w:cs="Arial"/>
        </w:rPr>
        <w:t>in the form of utility bills, TV license and anything else deem</w:t>
      </w:r>
      <w:r w:rsidR="00172A39">
        <w:rPr>
          <w:rFonts w:ascii="Arial" w:hAnsi="Arial" w:cs="Arial"/>
        </w:rPr>
        <w:t>ed</w:t>
      </w:r>
      <w:r w:rsidRPr="00622854">
        <w:rPr>
          <w:rFonts w:ascii="Arial" w:hAnsi="Arial" w:cs="Arial"/>
        </w:rPr>
        <w:t xml:space="preserve"> appropriate. Visiting officers may be utilised to follow up on individual properties</w:t>
      </w:r>
      <w:r w:rsidR="00172A39">
        <w:rPr>
          <w:rFonts w:ascii="Arial" w:hAnsi="Arial" w:cs="Arial"/>
        </w:rPr>
        <w:t>.</w:t>
      </w:r>
      <w:r w:rsidR="00710F73">
        <w:rPr>
          <w:rFonts w:ascii="Arial" w:hAnsi="Arial" w:cs="Arial"/>
        </w:rPr>
        <w:t xml:space="preserve"> </w:t>
      </w:r>
    </w:p>
    <w:p w14:paraId="4770496C" w14:textId="77777777" w:rsidR="00717739" w:rsidRDefault="00717739" w:rsidP="00C32A60">
      <w:pPr>
        <w:rPr>
          <w:rFonts w:ascii="Arial" w:hAnsi="Arial"/>
        </w:rPr>
      </w:pPr>
    </w:p>
    <w:p w14:paraId="39BD86CE" w14:textId="77777777" w:rsidR="00BD2164" w:rsidRDefault="00BD2164" w:rsidP="00C32A60">
      <w:pPr>
        <w:rPr>
          <w:rFonts w:ascii="Arial" w:hAnsi="Arial"/>
        </w:rPr>
      </w:pPr>
    </w:p>
    <w:p w14:paraId="36E96D1F" w14:textId="77777777" w:rsidR="00BD2164" w:rsidRDefault="00BD2164" w:rsidP="00C32A60">
      <w:pPr>
        <w:rPr>
          <w:rFonts w:ascii="Arial" w:hAnsi="Arial"/>
        </w:rPr>
      </w:pPr>
    </w:p>
    <w:p w14:paraId="340C0166" w14:textId="77777777" w:rsidR="00BD2164" w:rsidRDefault="00BD2164" w:rsidP="00C32A60">
      <w:pPr>
        <w:rPr>
          <w:rFonts w:ascii="Arial" w:hAnsi="Arial"/>
        </w:rPr>
      </w:pPr>
    </w:p>
    <w:p w14:paraId="4B9E764D" w14:textId="77777777" w:rsidR="00BD2164" w:rsidRDefault="00BD2164" w:rsidP="00C32A60">
      <w:pPr>
        <w:rPr>
          <w:rFonts w:ascii="Arial" w:hAnsi="Arial"/>
        </w:rPr>
      </w:pPr>
    </w:p>
    <w:p w14:paraId="192D566B" w14:textId="77777777" w:rsidR="00D15248" w:rsidRDefault="00D15248" w:rsidP="00C32A60">
      <w:pPr>
        <w:rPr>
          <w:rFonts w:ascii="Arial" w:hAnsi="Arial"/>
        </w:rPr>
      </w:pPr>
    </w:p>
    <w:p w14:paraId="7B5916AB" w14:textId="77777777" w:rsidR="00D15248" w:rsidRDefault="00D15248" w:rsidP="00C32A60">
      <w:pPr>
        <w:rPr>
          <w:rFonts w:ascii="Arial" w:hAnsi="Arial"/>
        </w:rPr>
      </w:pPr>
    </w:p>
    <w:p w14:paraId="23C7891F" w14:textId="77777777" w:rsidR="00D15248" w:rsidRDefault="00D15248" w:rsidP="00C32A60">
      <w:pPr>
        <w:rPr>
          <w:rFonts w:ascii="Arial" w:hAnsi="Arial"/>
        </w:rPr>
      </w:pPr>
    </w:p>
    <w:p w14:paraId="38E42C6D" w14:textId="77777777" w:rsidR="00BD2164" w:rsidRDefault="00BD2164" w:rsidP="00C32A60">
      <w:pPr>
        <w:rPr>
          <w:rFonts w:ascii="Arial" w:hAnsi="Arial"/>
        </w:rPr>
      </w:pPr>
    </w:p>
    <w:p w14:paraId="248913FC" w14:textId="77777777" w:rsidR="00EB1B43" w:rsidRDefault="00EB1B43" w:rsidP="00C32A60">
      <w:pPr>
        <w:rPr>
          <w:rFonts w:ascii="Arial" w:hAnsi="Arial"/>
        </w:rPr>
      </w:pPr>
    </w:p>
    <w:p w14:paraId="39D081D7" w14:textId="77777777" w:rsidR="00EB1B43" w:rsidRDefault="00EB1B43" w:rsidP="00C32A60">
      <w:pPr>
        <w:rPr>
          <w:rFonts w:ascii="Arial" w:hAnsi="Arial"/>
        </w:rPr>
      </w:pPr>
    </w:p>
    <w:p w14:paraId="0F11E009" w14:textId="77777777" w:rsidR="00EB1B43" w:rsidRDefault="00EB1B43" w:rsidP="00C32A60">
      <w:pPr>
        <w:rPr>
          <w:rFonts w:ascii="Arial" w:hAnsi="Arial"/>
        </w:rPr>
      </w:pPr>
    </w:p>
    <w:p w14:paraId="3BCC8553" w14:textId="77777777" w:rsidR="00EB1B43" w:rsidRDefault="00EB1B43" w:rsidP="00C32A60">
      <w:pPr>
        <w:rPr>
          <w:rFonts w:ascii="Arial" w:hAnsi="Arial"/>
        </w:rPr>
      </w:pPr>
    </w:p>
    <w:p w14:paraId="302382A4" w14:textId="77777777" w:rsidR="006A3313" w:rsidRDefault="006A3313" w:rsidP="00C32A60">
      <w:pPr>
        <w:rPr>
          <w:rFonts w:ascii="Arial" w:hAnsi="Arial"/>
        </w:rPr>
      </w:pPr>
    </w:p>
    <w:p w14:paraId="5D579DFA" w14:textId="77777777" w:rsidR="00965FCA" w:rsidRDefault="00B13F9A" w:rsidP="00C32A60">
      <w:pPr>
        <w:rPr>
          <w:rFonts w:ascii="Arial" w:hAnsi="Arial"/>
          <w:b/>
        </w:rPr>
      </w:pPr>
      <w:r w:rsidRPr="00B13F9A">
        <w:rPr>
          <w:rFonts w:ascii="Arial" w:hAnsi="Arial"/>
          <w:b/>
        </w:rPr>
        <w:t>5.0</w:t>
      </w:r>
      <w:r w:rsidRPr="00B13F9A">
        <w:rPr>
          <w:rFonts w:ascii="Arial" w:hAnsi="Arial"/>
          <w:b/>
        </w:rPr>
        <w:tab/>
        <w:t>Exclusions from the Increase</w:t>
      </w:r>
    </w:p>
    <w:p w14:paraId="055455D8" w14:textId="77777777" w:rsidR="00B13F9A" w:rsidRDefault="00B13F9A" w:rsidP="00C32A60">
      <w:pPr>
        <w:rPr>
          <w:rFonts w:ascii="Arial" w:hAnsi="Arial"/>
          <w:b/>
        </w:rPr>
      </w:pPr>
    </w:p>
    <w:p w14:paraId="0F6DE0AA" w14:textId="77777777" w:rsidR="00B13F9A" w:rsidRPr="00B13F9A" w:rsidRDefault="00B13F9A" w:rsidP="00B13F9A">
      <w:pPr>
        <w:pStyle w:val="Default"/>
      </w:pPr>
      <w:r w:rsidRPr="00B13F9A">
        <w:t>5.1</w:t>
      </w:r>
      <w:r w:rsidRPr="00B13F9A">
        <w:tab/>
        <w:t>Existing Mandatory Discounts and Exemptions</w:t>
      </w:r>
    </w:p>
    <w:p w14:paraId="05509F25" w14:textId="77777777" w:rsidR="00B13F9A" w:rsidRDefault="00B13F9A" w:rsidP="00B13F9A">
      <w:pPr>
        <w:pStyle w:val="Default"/>
      </w:pPr>
    </w:p>
    <w:p w14:paraId="00F60990" w14:textId="77777777" w:rsidR="00B13F9A" w:rsidRPr="00B13F9A" w:rsidRDefault="00B13F9A" w:rsidP="00EF097E">
      <w:pPr>
        <w:pStyle w:val="Default"/>
      </w:pPr>
      <w:r w:rsidRPr="00B13F9A">
        <w:t xml:space="preserve">The new flexibility will not affect an owner’s eligibility to claim council tax exemptions under the Council Tax (Exempt Dwellings) (Scotland) Order 1997. </w:t>
      </w:r>
    </w:p>
    <w:p w14:paraId="79D998D9" w14:textId="77777777" w:rsidR="00B13F9A" w:rsidRPr="00B13F9A" w:rsidRDefault="00B13F9A" w:rsidP="00B13F9A">
      <w:pPr>
        <w:pStyle w:val="Default"/>
      </w:pPr>
    </w:p>
    <w:p w14:paraId="2BC9BE3C" w14:textId="77777777" w:rsidR="00965FCA" w:rsidRPr="00B13F9A" w:rsidRDefault="00B13F9A" w:rsidP="00B13F9A">
      <w:pPr>
        <w:rPr>
          <w:rFonts w:ascii="Arial" w:hAnsi="Arial" w:cs="Arial"/>
        </w:rPr>
      </w:pPr>
      <w:proofErr w:type="gramStart"/>
      <w:r w:rsidRPr="00B13F9A">
        <w:rPr>
          <w:rFonts w:ascii="Arial" w:hAnsi="Arial" w:cs="Arial"/>
        </w:rPr>
        <w:t>As long as</w:t>
      </w:r>
      <w:proofErr w:type="gramEnd"/>
      <w:r w:rsidRPr="00B13F9A">
        <w:rPr>
          <w:rFonts w:ascii="Arial" w:hAnsi="Arial" w:cs="Arial"/>
        </w:rPr>
        <w:t xml:space="preserve"> an owner is eligible for an exemption, they would not be charged any council tax, regardless of how long the dwelling has been unoccupied. However, where a dwelling becomes no longer eligible for the exemption, but remains unoccupied, it will become eligible for the council tax increase after the property has been empty for 1 year.</w:t>
      </w:r>
    </w:p>
    <w:p w14:paraId="7593DD7C" w14:textId="77777777" w:rsidR="00717739" w:rsidRDefault="00717739" w:rsidP="00C32A60">
      <w:pPr>
        <w:rPr>
          <w:rFonts w:ascii="Arial" w:hAnsi="Arial"/>
        </w:rPr>
      </w:pPr>
    </w:p>
    <w:p w14:paraId="44A4C825" w14:textId="77777777" w:rsidR="00BB30C5" w:rsidRDefault="00BB30C5" w:rsidP="00C32A60">
      <w:pPr>
        <w:rPr>
          <w:sz w:val="23"/>
          <w:szCs w:val="23"/>
        </w:rPr>
      </w:pPr>
      <w:r w:rsidRPr="004B12CD">
        <w:rPr>
          <w:rFonts w:ascii="Arial" w:hAnsi="Arial" w:cs="Arial"/>
        </w:rPr>
        <w:t>Prop</w:t>
      </w:r>
      <w:r w:rsidR="004B12CD">
        <w:rPr>
          <w:rFonts w:ascii="Arial" w:hAnsi="Arial" w:cs="Arial"/>
        </w:rPr>
        <w:t xml:space="preserve">erties classed as </w:t>
      </w:r>
      <w:proofErr w:type="gramStart"/>
      <w:r w:rsidR="005711B4">
        <w:rPr>
          <w:rFonts w:ascii="Arial" w:hAnsi="Arial" w:cs="Arial"/>
        </w:rPr>
        <w:t>purpose built</w:t>
      </w:r>
      <w:proofErr w:type="gramEnd"/>
      <w:r w:rsidR="005711B4">
        <w:rPr>
          <w:rFonts w:ascii="Arial" w:hAnsi="Arial" w:cs="Arial"/>
        </w:rPr>
        <w:t xml:space="preserve"> </w:t>
      </w:r>
      <w:r w:rsidR="004B12CD">
        <w:rPr>
          <w:rFonts w:ascii="Arial" w:hAnsi="Arial" w:cs="Arial"/>
        </w:rPr>
        <w:t>holiday homes or</w:t>
      </w:r>
      <w:r w:rsidRPr="004B12CD">
        <w:rPr>
          <w:rFonts w:ascii="Arial" w:hAnsi="Arial" w:cs="Arial"/>
        </w:rPr>
        <w:t xml:space="preserve"> occupied as job related </w:t>
      </w:r>
      <w:r w:rsidR="004B12CD">
        <w:rPr>
          <w:rFonts w:ascii="Arial" w:hAnsi="Arial" w:cs="Arial"/>
        </w:rPr>
        <w:t xml:space="preserve">dwellings </w:t>
      </w:r>
      <w:r w:rsidRPr="004B12CD">
        <w:rPr>
          <w:rFonts w:ascii="Arial" w:hAnsi="Arial" w:cs="Arial"/>
        </w:rPr>
        <w:t xml:space="preserve">will continue to receive </w:t>
      </w:r>
      <w:r w:rsidR="004B12CD">
        <w:rPr>
          <w:rFonts w:ascii="Arial" w:hAnsi="Arial" w:cs="Arial"/>
        </w:rPr>
        <w:t>50%</w:t>
      </w:r>
      <w:r w:rsidRPr="004B12CD">
        <w:rPr>
          <w:rFonts w:ascii="Arial" w:hAnsi="Arial" w:cs="Arial"/>
        </w:rPr>
        <w:t xml:space="preserve"> discount</w:t>
      </w:r>
      <w:r>
        <w:rPr>
          <w:sz w:val="23"/>
          <w:szCs w:val="23"/>
        </w:rPr>
        <w:t>.</w:t>
      </w:r>
    </w:p>
    <w:p w14:paraId="009F1514" w14:textId="77777777" w:rsidR="005711B4" w:rsidRDefault="005711B4" w:rsidP="00C32A60">
      <w:pPr>
        <w:rPr>
          <w:sz w:val="23"/>
          <w:szCs w:val="23"/>
        </w:rPr>
      </w:pPr>
    </w:p>
    <w:p w14:paraId="71F84760" w14:textId="77777777" w:rsidR="005711B4" w:rsidRPr="007700A3" w:rsidRDefault="005711B4" w:rsidP="00C32A60">
      <w:pPr>
        <w:rPr>
          <w:rFonts w:ascii="Arial" w:hAnsi="Arial" w:cs="Arial"/>
          <w:sz w:val="28"/>
        </w:rPr>
      </w:pPr>
      <w:r w:rsidRPr="007700A3">
        <w:rPr>
          <w:rFonts w:ascii="Arial" w:hAnsi="Arial" w:cs="Arial"/>
          <w:szCs w:val="23"/>
        </w:rPr>
        <w:t xml:space="preserve">The legislation defines a purpose built holiday home as a dwelling which is used for holiday purposes and is either, in accordance with any license or planning permission regulating the use of the site, or for any other reason, not allowed to be used for human habitation throughout the whole year or, by reason of </w:t>
      </w:r>
      <w:r w:rsidR="007700A3" w:rsidRPr="007700A3">
        <w:rPr>
          <w:rFonts w:ascii="Arial" w:hAnsi="Arial" w:cs="Arial"/>
          <w:szCs w:val="23"/>
        </w:rPr>
        <w:t>its</w:t>
      </w:r>
      <w:r w:rsidRPr="007700A3">
        <w:rPr>
          <w:rFonts w:ascii="Arial" w:hAnsi="Arial" w:cs="Arial"/>
          <w:szCs w:val="23"/>
        </w:rPr>
        <w:t xml:space="preserve"> construction or facilities which it does, or does not, provide, is unfit so to be used. </w:t>
      </w:r>
    </w:p>
    <w:p w14:paraId="5CD72709" w14:textId="77777777" w:rsidR="00BB30C5" w:rsidRDefault="00BB30C5" w:rsidP="00C32A60">
      <w:pPr>
        <w:rPr>
          <w:rFonts w:ascii="Arial" w:hAnsi="Arial"/>
        </w:rPr>
      </w:pPr>
    </w:p>
    <w:p w14:paraId="45015EB5" w14:textId="77777777" w:rsidR="00B13F9A" w:rsidRDefault="00B13F9A" w:rsidP="00C32A60">
      <w:pPr>
        <w:rPr>
          <w:rFonts w:ascii="Arial" w:hAnsi="Arial" w:cs="Arial"/>
        </w:rPr>
      </w:pPr>
      <w:r>
        <w:rPr>
          <w:rFonts w:ascii="Arial" w:hAnsi="Arial"/>
        </w:rPr>
        <w:t>5.2</w:t>
      </w:r>
      <w:r>
        <w:rPr>
          <w:rFonts w:ascii="Arial" w:hAnsi="Arial"/>
        </w:rPr>
        <w:tab/>
      </w:r>
      <w:r w:rsidRPr="00B13F9A">
        <w:rPr>
          <w:rFonts w:ascii="Arial" w:hAnsi="Arial" w:cs="Arial"/>
        </w:rPr>
        <w:t xml:space="preserve">Homes actively being marketed for sale or </w:t>
      </w:r>
      <w:proofErr w:type="gramStart"/>
      <w:r w:rsidR="00EB1B43">
        <w:rPr>
          <w:rFonts w:ascii="Arial" w:hAnsi="Arial" w:cs="Arial"/>
        </w:rPr>
        <w:t>let</w:t>
      </w:r>
      <w:proofErr w:type="gramEnd"/>
    </w:p>
    <w:p w14:paraId="609B28CF" w14:textId="77777777" w:rsidR="00B13F9A" w:rsidRDefault="00B13F9A" w:rsidP="00C32A60">
      <w:pPr>
        <w:rPr>
          <w:rFonts w:ascii="Arial" w:hAnsi="Arial" w:cs="Arial"/>
        </w:rPr>
      </w:pPr>
    </w:p>
    <w:p w14:paraId="3B796BFC" w14:textId="77777777" w:rsidR="00B13F9A" w:rsidRPr="00B13F9A" w:rsidRDefault="00B13F9A" w:rsidP="00C32A60">
      <w:pPr>
        <w:rPr>
          <w:rFonts w:ascii="Arial" w:hAnsi="Arial" w:cs="Arial"/>
        </w:rPr>
      </w:pPr>
      <w:r w:rsidRPr="00B13F9A">
        <w:rPr>
          <w:rFonts w:ascii="Arial" w:hAnsi="Arial" w:cs="Arial"/>
        </w:rPr>
        <w:t xml:space="preserve">Homes being marketed for sale or let will be exempt from the council tax increase until they have been unoccupied for 2 years, these homes will </w:t>
      </w:r>
      <w:r w:rsidR="00BC20F5">
        <w:rPr>
          <w:rFonts w:ascii="Arial" w:hAnsi="Arial" w:cs="Arial"/>
        </w:rPr>
        <w:t xml:space="preserve">continue to </w:t>
      </w:r>
      <w:r w:rsidRPr="00B13F9A">
        <w:rPr>
          <w:rFonts w:ascii="Arial" w:hAnsi="Arial" w:cs="Arial"/>
        </w:rPr>
        <w:t xml:space="preserve">attract a discount of 10%. New build properties can also qualify for this exemption from the increase. This exemption is conditional on the home being genuinely marketed for sale or let at a realistic market price. In considering whether a home is genuinely being marketed for sale or let, </w:t>
      </w:r>
      <w:r w:rsidR="008D44AB">
        <w:rPr>
          <w:rFonts w:ascii="Arial" w:hAnsi="Arial" w:cs="Arial"/>
        </w:rPr>
        <w:t xml:space="preserve">the </w:t>
      </w:r>
      <w:r w:rsidR="008B6A57">
        <w:rPr>
          <w:rFonts w:ascii="Arial" w:hAnsi="Arial" w:cs="Arial"/>
        </w:rPr>
        <w:t>c</w:t>
      </w:r>
      <w:r w:rsidR="008D44AB">
        <w:rPr>
          <w:rFonts w:ascii="Arial" w:hAnsi="Arial" w:cs="Arial"/>
        </w:rPr>
        <w:t>ouncil</w:t>
      </w:r>
      <w:r w:rsidRPr="00B13F9A">
        <w:rPr>
          <w:rFonts w:ascii="Arial" w:hAnsi="Arial" w:cs="Arial"/>
        </w:rPr>
        <w:t xml:space="preserve"> can have regard to any unduly restrictive conditions being attached to the sale or let as well as the sales price/ rent level. In coming to their decision on </w:t>
      </w:r>
      <w:proofErr w:type="gramStart"/>
      <w:r w:rsidRPr="00B13F9A">
        <w:rPr>
          <w:rFonts w:ascii="Arial" w:hAnsi="Arial" w:cs="Arial"/>
        </w:rPr>
        <w:t>whether or not</w:t>
      </w:r>
      <w:proofErr w:type="gramEnd"/>
      <w:r w:rsidRPr="00B13F9A">
        <w:rPr>
          <w:rFonts w:ascii="Arial" w:hAnsi="Arial" w:cs="Arial"/>
        </w:rPr>
        <w:t xml:space="preserve"> the property is being genuinely marketed for sale or let, </w:t>
      </w:r>
      <w:r w:rsidR="008D44AB">
        <w:rPr>
          <w:rFonts w:ascii="Arial" w:hAnsi="Arial" w:cs="Arial"/>
        </w:rPr>
        <w:t xml:space="preserve">the </w:t>
      </w:r>
      <w:r w:rsidR="008B6A57">
        <w:rPr>
          <w:rFonts w:ascii="Arial" w:hAnsi="Arial" w:cs="Arial"/>
        </w:rPr>
        <w:t>c</w:t>
      </w:r>
      <w:r w:rsidR="008D44AB">
        <w:rPr>
          <w:rFonts w:ascii="Arial" w:hAnsi="Arial" w:cs="Arial"/>
        </w:rPr>
        <w:t>ouncil</w:t>
      </w:r>
      <w:r w:rsidRPr="00B13F9A">
        <w:rPr>
          <w:rFonts w:ascii="Arial" w:hAnsi="Arial" w:cs="Arial"/>
        </w:rPr>
        <w:t xml:space="preserve"> can request and take into account evidence including</w:t>
      </w:r>
      <w:r w:rsidR="00EF097E">
        <w:rPr>
          <w:rFonts w:ascii="Arial" w:hAnsi="Arial" w:cs="Arial"/>
        </w:rPr>
        <w:t>:</w:t>
      </w:r>
    </w:p>
    <w:p w14:paraId="3C3073C5" w14:textId="77777777" w:rsidR="00B13F9A" w:rsidRDefault="00B13F9A" w:rsidP="00C32A60">
      <w:pPr>
        <w:rPr>
          <w:rFonts w:ascii="Arial" w:hAnsi="Arial" w:cs="Arial"/>
        </w:rPr>
      </w:pPr>
    </w:p>
    <w:p w14:paraId="29D62283" w14:textId="77777777" w:rsidR="00B95E88" w:rsidRDefault="00B13F9A" w:rsidP="008B6A57">
      <w:pPr>
        <w:pStyle w:val="Default"/>
        <w:numPr>
          <w:ilvl w:val="0"/>
          <w:numId w:val="11"/>
        </w:numPr>
      </w:pPr>
      <w:r w:rsidRPr="00EF097E">
        <w:rPr>
          <w:iCs/>
        </w:rPr>
        <w:t xml:space="preserve">Home Report </w:t>
      </w:r>
      <w:r w:rsidR="00B95E88">
        <w:rPr>
          <w:iCs/>
        </w:rPr>
        <w:t xml:space="preserve">- </w:t>
      </w:r>
      <w:r w:rsidR="00B95E88">
        <w:t>If</w:t>
      </w:r>
      <w:r w:rsidRPr="00B13F9A">
        <w:t xml:space="preserve"> the property is being marketed for sale, does it have a valid home report? Most houses for sale in Scotland require a home report which also includes a valuation of the property. If the home report valuation is significantly below the advertised price, it may be that the owner is not making a genuine attempt to sell their property. </w:t>
      </w:r>
    </w:p>
    <w:p w14:paraId="16F6BC2E" w14:textId="77777777" w:rsidR="00B95E88" w:rsidRDefault="00B95E88" w:rsidP="00B13F9A">
      <w:pPr>
        <w:pStyle w:val="Default"/>
      </w:pPr>
    </w:p>
    <w:p w14:paraId="129DFA38" w14:textId="77777777" w:rsidR="00B13F9A" w:rsidRPr="00B13F9A" w:rsidRDefault="00B13F9A" w:rsidP="008B6A57">
      <w:pPr>
        <w:pStyle w:val="Default"/>
        <w:numPr>
          <w:ilvl w:val="0"/>
          <w:numId w:val="11"/>
        </w:numPr>
      </w:pPr>
      <w:r w:rsidRPr="00EF097E">
        <w:rPr>
          <w:iCs/>
        </w:rPr>
        <w:t xml:space="preserve">Marketing </w:t>
      </w:r>
      <w:r w:rsidR="00B95E88">
        <w:rPr>
          <w:iCs/>
        </w:rPr>
        <w:t xml:space="preserve">- </w:t>
      </w:r>
      <w:r w:rsidRPr="00B13F9A">
        <w:t>Is the owner’s marketing efforts providing adequate exposure to the market? Is the property being actively marketed by an agent and/or property sale/letting website?</w:t>
      </w:r>
    </w:p>
    <w:p w14:paraId="5194F116" w14:textId="77777777" w:rsidR="00B13F9A" w:rsidRDefault="00B13F9A" w:rsidP="00C32A60">
      <w:pPr>
        <w:rPr>
          <w:rFonts w:ascii="Arial" w:hAnsi="Arial" w:cs="Arial"/>
        </w:rPr>
      </w:pPr>
    </w:p>
    <w:p w14:paraId="59F1C26A" w14:textId="77777777" w:rsidR="00B13F9A" w:rsidRDefault="00EF097E" w:rsidP="00C32A60">
      <w:pPr>
        <w:rPr>
          <w:rFonts w:ascii="Arial" w:hAnsi="Arial" w:cs="Arial"/>
        </w:rPr>
      </w:pPr>
      <w:r>
        <w:rPr>
          <w:rFonts w:ascii="Arial" w:hAnsi="Arial" w:cs="Arial"/>
        </w:rPr>
        <w:lastRenderedPageBreak/>
        <w:t>5</w:t>
      </w:r>
      <w:r w:rsidRPr="00EF097E">
        <w:rPr>
          <w:rFonts w:ascii="Arial" w:hAnsi="Arial" w:cs="Arial"/>
        </w:rPr>
        <w:t>.3. Additional flexibility to vary discount/</w:t>
      </w:r>
      <w:proofErr w:type="gramStart"/>
      <w:r w:rsidRPr="00EF097E">
        <w:rPr>
          <w:rFonts w:ascii="Arial" w:hAnsi="Arial" w:cs="Arial"/>
        </w:rPr>
        <w:t>increase</w:t>
      </w:r>
      <w:proofErr w:type="gramEnd"/>
    </w:p>
    <w:p w14:paraId="2ABC4C27" w14:textId="77777777" w:rsidR="00CC1F6B" w:rsidRDefault="00CC1F6B" w:rsidP="00C32A60">
      <w:pPr>
        <w:rPr>
          <w:rFonts w:ascii="Arial" w:hAnsi="Arial" w:cs="Arial"/>
        </w:rPr>
      </w:pPr>
    </w:p>
    <w:p w14:paraId="14C2405F" w14:textId="77777777" w:rsidR="00EF097E" w:rsidRPr="008B6A57" w:rsidRDefault="006A3313" w:rsidP="00165B78">
      <w:pPr>
        <w:rPr>
          <w:rFonts w:ascii="Arial" w:hAnsi="Arial" w:cs="Arial"/>
        </w:rPr>
      </w:pPr>
      <w:r w:rsidRPr="008B6A57">
        <w:rPr>
          <w:rFonts w:ascii="Arial" w:hAnsi="Arial" w:cs="Arial"/>
        </w:rPr>
        <w:t xml:space="preserve">Regulation 4 of the Council Tax (Variation for Unoccupied Dwellings) (Scotland) Regulations 2013 includes provision for local authorities to apply additional exemption from the </w:t>
      </w:r>
      <w:r w:rsidR="00EB1B43">
        <w:rPr>
          <w:rFonts w:ascii="Arial" w:hAnsi="Arial" w:cs="Arial"/>
        </w:rPr>
        <w:t>increase</w:t>
      </w:r>
      <w:r w:rsidRPr="008B6A57">
        <w:rPr>
          <w:rFonts w:ascii="Arial" w:hAnsi="Arial" w:cs="Arial"/>
        </w:rPr>
        <w:t>, or to charge a reduced level of increase.</w:t>
      </w:r>
      <w:r w:rsidR="00165B78" w:rsidRPr="008B6A57">
        <w:rPr>
          <w:rFonts w:ascii="Arial" w:hAnsi="Arial" w:cs="Arial"/>
        </w:rPr>
        <w:t xml:space="preserve"> </w:t>
      </w:r>
      <w:r w:rsidR="00EF097E" w:rsidRPr="008B6A57">
        <w:rPr>
          <w:rFonts w:ascii="Arial" w:hAnsi="Arial" w:cs="Arial"/>
        </w:rPr>
        <w:t xml:space="preserve">This could include charging different rates according to, for example, the area the dwelling is in; the length of time that the dwelling has been unoccupied and other circumstances as a local authority considers appropriate. </w:t>
      </w:r>
    </w:p>
    <w:p w14:paraId="7B2C4BEF" w14:textId="77777777" w:rsidR="00B95E88" w:rsidRPr="00EF097E" w:rsidRDefault="00B95E88" w:rsidP="00EF097E">
      <w:pPr>
        <w:pStyle w:val="Default"/>
      </w:pPr>
    </w:p>
    <w:p w14:paraId="6D69FE57" w14:textId="77777777" w:rsidR="00EF097E" w:rsidRDefault="00EF097E" w:rsidP="00EF097E">
      <w:pPr>
        <w:pStyle w:val="Default"/>
      </w:pPr>
      <w:r w:rsidRPr="00EF097E">
        <w:t xml:space="preserve">This additional flexibility is included so that local authorities can modify provision by </w:t>
      </w:r>
    </w:p>
    <w:p w14:paraId="164F4CD0" w14:textId="77777777" w:rsidR="00B95E88" w:rsidRPr="00EF097E" w:rsidRDefault="00B95E88" w:rsidP="00EF097E">
      <w:pPr>
        <w:pStyle w:val="Default"/>
      </w:pPr>
    </w:p>
    <w:p w14:paraId="7B428F1E" w14:textId="77777777" w:rsidR="00EF097E" w:rsidRPr="00EF097E" w:rsidRDefault="00EF097E" w:rsidP="00B95E88">
      <w:pPr>
        <w:pStyle w:val="Default"/>
        <w:numPr>
          <w:ilvl w:val="0"/>
          <w:numId w:val="6"/>
        </w:numPr>
        <w:spacing w:after="36"/>
      </w:pPr>
      <w:r w:rsidRPr="00EF097E">
        <w:t xml:space="preserve">not charging a council tax increase, </w:t>
      </w:r>
    </w:p>
    <w:p w14:paraId="43795DA5" w14:textId="77777777" w:rsidR="00EF097E" w:rsidRPr="00EF097E" w:rsidRDefault="00EF097E" w:rsidP="00B95E88">
      <w:pPr>
        <w:pStyle w:val="Default"/>
        <w:numPr>
          <w:ilvl w:val="0"/>
          <w:numId w:val="6"/>
        </w:numPr>
        <w:spacing w:after="36"/>
      </w:pPr>
      <w:r w:rsidRPr="00EF097E">
        <w:t xml:space="preserve">charging a reduced level of increase, </w:t>
      </w:r>
    </w:p>
    <w:p w14:paraId="220A6493" w14:textId="77777777" w:rsidR="00EF097E" w:rsidRPr="00EF097E" w:rsidRDefault="00EF097E" w:rsidP="00B95E88">
      <w:pPr>
        <w:pStyle w:val="Default"/>
        <w:numPr>
          <w:ilvl w:val="0"/>
          <w:numId w:val="6"/>
        </w:numPr>
      </w:pPr>
      <w:r w:rsidRPr="00EF097E">
        <w:t xml:space="preserve">offering a higher level of discount. </w:t>
      </w:r>
    </w:p>
    <w:p w14:paraId="03C128E2" w14:textId="77777777" w:rsidR="00EF097E" w:rsidRPr="00EF097E" w:rsidRDefault="00EF097E" w:rsidP="00EF097E">
      <w:pPr>
        <w:pStyle w:val="Default"/>
      </w:pPr>
    </w:p>
    <w:p w14:paraId="244A1289" w14:textId="77777777" w:rsidR="00EF097E" w:rsidRPr="008B6A57" w:rsidRDefault="00165B78" w:rsidP="00EF097E">
      <w:pPr>
        <w:pStyle w:val="Default"/>
      </w:pPr>
      <w:r w:rsidRPr="008B6A57">
        <w:t xml:space="preserve">The legislation provides adequate flexibility to ensure that individual owners are not unfairly penalised. The circumstances of individual owners should be </w:t>
      </w:r>
      <w:proofErr w:type="gramStart"/>
      <w:r w:rsidRPr="008B6A57">
        <w:t>taken into account</w:t>
      </w:r>
      <w:proofErr w:type="gramEnd"/>
      <w:r w:rsidRPr="008B6A57">
        <w:t xml:space="preserve"> when applying the increase. </w:t>
      </w:r>
      <w:r w:rsidR="00EF097E" w:rsidRPr="008B6A57">
        <w:t xml:space="preserve">This allows a local authority to avoid charging a council tax increase, or to charge a lower level of council tax than for other unoccupied dwellings, where it considers there are reasons why the owner is justified in leaving the dwelling unoccupied and/or reasons why the dwelling could not be lived </w:t>
      </w:r>
      <w:r w:rsidR="00B95E88" w:rsidRPr="008B6A57">
        <w:t>in</w:t>
      </w:r>
      <w:r w:rsidR="002572AF" w:rsidRPr="008B6A57">
        <w:t>,</w:t>
      </w:r>
      <w:r w:rsidR="00B95E88" w:rsidRPr="008B6A57">
        <w:t xml:space="preserve"> </w:t>
      </w:r>
      <w:proofErr w:type="gramStart"/>
      <w:r w:rsidR="00EF097E" w:rsidRPr="008B6A57">
        <w:t>sold</w:t>
      </w:r>
      <w:proofErr w:type="gramEnd"/>
      <w:r w:rsidR="00EF097E" w:rsidRPr="008B6A57">
        <w:t xml:space="preserve"> or let. </w:t>
      </w:r>
    </w:p>
    <w:p w14:paraId="48B5E098" w14:textId="77777777" w:rsidR="00B95E88" w:rsidRPr="008B6A57" w:rsidRDefault="00B95E88" w:rsidP="00EF097E">
      <w:pPr>
        <w:pStyle w:val="Default"/>
      </w:pPr>
    </w:p>
    <w:p w14:paraId="0476045C" w14:textId="77777777" w:rsidR="008E7686" w:rsidRPr="008B6A57" w:rsidRDefault="00F74520" w:rsidP="008E7686">
      <w:pPr>
        <w:pStyle w:val="Default"/>
      </w:pPr>
      <w:r>
        <w:t xml:space="preserve">Scottish Government guidance states that the </w:t>
      </w:r>
      <w:r w:rsidR="008E7686" w:rsidRPr="008B6A57">
        <w:t xml:space="preserve">following circumstances would merit flexibility in terms of not charging the council tax increase where the property has been </w:t>
      </w:r>
      <w:proofErr w:type="gramStart"/>
      <w:r w:rsidR="008E7686" w:rsidRPr="008B6A57">
        <w:t>empty</w:t>
      </w:r>
      <w:proofErr w:type="gramEnd"/>
      <w:r w:rsidR="008E7686" w:rsidRPr="008B6A57">
        <w:t xml:space="preserve"> for over a year and: </w:t>
      </w:r>
    </w:p>
    <w:p w14:paraId="3E91E86E" w14:textId="77777777" w:rsidR="008E7686" w:rsidRPr="008E7686" w:rsidRDefault="008E7686" w:rsidP="008E7686">
      <w:pPr>
        <w:pStyle w:val="Default"/>
        <w:rPr>
          <w:sz w:val="23"/>
          <w:szCs w:val="23"/>
        </w:rPr>
      </w:pPr>
    </w:p>
    <w:p w14:paraId="7E8EA7D6" w14:textId="77777777" w:rsidR="008E7686" w:rsidRPr="008B6A57" w:rsidRDefault="008E7686" w:rsidP="008E7686">
      <w:pPr>
        <w:pStyle w:val="ListParagraph"/>
        <w:numPr>
          <w:ilvl w:val="0"/>
          <w:numId w:val="8"/>
        </w:numPr>
        <w:autoSpaceDE w:val="0"/>
        <w:autoSpaceDN w:val="0"/>
        <w:adjustRightInd w:val="0"/>
        <w:spacing w:after="37"/>
        <w:rPr>
          <w:rFonts w:ascii="Arial" w:eastAsiaTheme="minorHAnsi" w:hAnsi="Arial" w:cs="Arial"/>
          <w:color w:val="000000"/>
          <w:szCs w:val="23"/>
        </w:rPr>
      </w:pPr>
      <w:r w:rsidRPr="008B6A57">
        <w:rPr>
          <w:rFonts w:ascii="Arial" w:eastAsiaTheme="minorHAnsi" w:hAnsi="Arial" w:cs="Arial"/>
          <w:color w:val="000000"/>
          <w:szCs w:val="23"/>
        </w:rPr>
        <w:t>The owner is finishing renovations prior to moving in/selling/letting</w:t>
      </w:r>
      <w:r w:rsidR="002572AF" w:rsidRPr="008B6A57">
        <w:rPr>
          <w:rFonts w:ascii="Arial" w:eastAsiaTheme="minorHAnsi" w:hAnsi="Arial" w:cs="Arial"/>
          <w:color w:val="000000"/>
          <w:szCs w:val="23"/>
        </w:rPr>
        <w:t xml:space="preserve"> </w:t>
      </w:r>
      <w:r w:rsidRPr="008B6A57">
        <w:rPr>
          <w:rFonts w:ascii="Arial" w:eastAsiaTheme="minorHAnsi" w:hAnsi="Arial" w:cs="Arial"/>
          <w:color w:val="000000"/>
          <w:szCs w:val="23"/>
        </w:rPr>
        <w:t xml:space="preserve">and can demonstrate that these works are progressing. </w:t>
      </w:r>
    </w:p>
    <w:p w14:paraId="41C9C1D1" w14:textId="77777777" w:rsidR="008E7686" w:rsidRPr="008B6A57" w:rsidRDefault="008E7686" w:rsidP="008E7686">
      <w:pPr>
        <w:pStyle w:val="ListParagraph"/>
        <w:numPr>
          <w:ilvl w:val="0"/>
          <w:numId w:val="8"/>
        </w:numPr>
        <w:autoSpaceDE w:val="0"/>
        <w:autoSpaceDN w:val="0"/>
        <w:adjustRightInd w:val="0"/>
        <w:spacing w:after="37"/>
        <w:rPr>
          <w:rFonts w:ascii="Arial" w:eastAsiaTheme="minorHAnsi" w:hAnsi="Arial" w:cs="Arial"/>
          <w:color w:val="000000"/>
          <w:szCs w:val="23"/>
        </w:rPr>
      </w:pPr>
      <w:r w:rsidRPr="008B6A57">
        <w:rPr>
          <w:rFonts w:ascii="Arial" w:eastAsiaTheme="minorHAnsi" w:hAnsi="Arial" w:cs="Arial"/>
          <w:color w:val="000000"/>
          <w:szCs w:val="23"/>
        </w:rPr>
        <w:t xml:space="preserve">A long-term second home where the owner was unable to meet the </w:t>
      </w:r>
      <w:proofErr w:type="gramStart"/>
      <w:r w:rsidRPr="008B6A57">
        <w:rPr>
          <w:rFonts w:ascii="Arial" w:eastAsiaTheme="minorHAnsi" w:hAnsi="Arial" w:cs="Arial"/>
          <w:color w:val="000000"/>
          <w:szCs w:val="23"/>
        </w:rPr>
        <w:t>25 day</w:t>
      </w:r>
      <w:proofErr w:type="gramEnd"/>
      <w:r w:rsidRPr="008B6A57">
        <w:rPr>
          <w:rFonts w:ascii="Arial" w:eastAsiaTheme="minorHAnsi" w:hAnsi="Arial" w:cs="Arial"/>
          <w:color w:val="000000"/>
          <w:szCs w:val="23"/>
        </w:rPr>
        <w:t xml:space="preserve"> occupancy criteria in the previous 12 months due to personal circumstances but where a history of 25 day occupancy can be shown in previous years. </w:t>
      </w:r>
    </w:p>
    <w:p w14:paraId="741D392D" w14:textId="77777777" w:rsidR="008E7686" w:rsidRPr="008B6A57" w:rsidRDefault="008E7686" w:rsidP="008E7686">
      <w:pPr>
        <w:pStyle w:val="ListParagraph"/>
        <w:numPr>
          <w:ilvl w:val="0"/>
          <w:numId w:val="8"/>
        </w:numPr>
        <w:autoSpaceDE w:val="0"/>
        <w:autoSpaceDN w:val="0"/>
        <w:adjustRightInd w:val="0"/>
        <w:spacing w:after="37"/>
        <w:rPr>
          <w:rFonts w:ascii="Arial" w:eastAsiaTheme="minorHAnsi" w:hAnsi="Arial" w:cs="Arial"/>
          <w:color w:val="000000"/>
          <w:szCs w:val="23"/>
        </w:rPr>
      </w:pPr>
      <w:r w:rsidRPr="008B6A57">
        <w:rPr>
          <w:rFonts w:ascii="Arial" w:eastAsiaTheme="minorHAnsi" w:hAnsi="Arial" w:cs="Arial"/>
          <w:color w:val="000000"/>
          <w:szCs w:val="23"/>
        </w:rPr>
        <w:t>A property that is taking a long time to sell/let in a stagnant market despite being price</w:t>
      </w:r>
      <w:r w:rsidR="00610DDC" w:rsidRPr="008B6A57">
        <w:rPr>
          <w:rFonts w:ascii="Arial" w:eastAsiaTheme="minorHAnsi" w:hAnsi="Arial" w:cs="Arial"/>
          <w:color w:val="000000"/>
          <w:szCs w:val="23"/>
        </w:rPr>
        <w:t>d</w:t>
      </w:r>
      <w:r w:rsidRPr="008B6A57">
        <w:rPr>
          <w:rFonts w:ascii="Arial" w:eastAsiaTheme="minorHAnsi" w:hAnsi="Arial" w:cs="Arial"/>
          <w:color w:val="000000"/>
          <w:szCs w:val="23"/>
        </w:rPr>
        <w:t xml:space="preserve"> appropriately. </w:t>
      </w:r>
    </w:p>
    <w:p w14:paraId="202773C7" w14:textId="77777777" w:rsidR="002572AF" w:rsidRPr="00F74520" w:rsidRDefault="008E7686" w:rsidP="00F74520">
      <w:pPr>
        <w:pStyle w:val="ListParagraph"/>
        <w:numPr>
          <w:ilvl w:val="0"/>
          <w:numId w:val="8"/>
        </w:numPr>
        <w:autoSpaceDE w:val="0"/>
        <w:autoSpaceDN w:val="0"/>
        <w:adjustRightInd w:val="0"/>
        <w:spacing w:after="37"/>
        <w:rPr>
          <w:rFonts w:ascii="Arial" w:eastAsiaTheme="minorHAnsi" w:hAnsi="Arial" w:cs="Arial"/>
          <w:color w:val="000000"/>
          <w:szCs w:val="23"/>
        </w:rPr>
      </w:pPr>
      <w:r w:rsidRPr="008B6A57">
        <w:rPr>
          <w:rFonts w:ascii="Arial" w:eastAsiaTheme="minorHAnsi" w:hAnsi="Arial" w:cs="Arial"/>
          <w:color w:val="000000"/>
          <w:szCs w:val="23"/>
        </w:rPr>
        <w:t>Any other circumstances where the owner has agreed with an Empty Homes Officer to take positive steps to re-occupy their property and it is in the view of the Empty Homes Officer that a time-limited council tax increase “holiday” would encourage the property to be brought back into use sooner.</w:t>
      </w:r>
    </w:p>
    <w:p w14:paraId="249159A9" w14:textId="77777777" w:rsidR="00CC1F6B" w:rsidRPr="00EF097E" w:rsidRDefault="00CC1F6B" w:rsidP="00EF097E">
      <w:pPr>
        <w:pStyle w:val="Default"/>
      </w:pPr>
    </w:p>
    <w:p w14:paraId="77295CFE" w14:textId="77777777" w:rsidR="00B95E88" w:rsidRDefault="00EF097E" w:rsidP="00EF097E">
      <w:pPr>
        <w:rPr>
          <w:rFonts w:ascii="Arial" w:hAnsi="Arial" w:cs="Arial"/>
        </w:rPr>
      </w:pPr>
      <w:r w:rsidRPr="00EF097E">
        <w:rPr>
          <w:rFonts w:ascii="Arial" w:hAnsi="Arial" w:cs="Arial"/>
        </w:rPr>
        <w:t>For all cases, the maximum discount of 50% and a maximum increase of 100% as set in the legislation must not be exceeded. Under the legislation, local authorities are prevented from using their discretion to vary council tax charges in a way that gives more favourable treatment to unoccupied social rented dwellings just because they are owned by a social landlord.</w:t>
      </w:r>
    </w:p>
    <w:p w14:paraId="08E169BF" w14:textId="77777777" w:rsidR="00B95E88" w:rsidRDefault="00B95E88" w:rsidP="00EF097E">
      <w:pPr>
        <w:rPr>
          <w:rFonts w:ascii="Arial" w:hAnsi="Arial" w:cs="Arial"/>
        </w:rPr>
      </w:pPr>
    </w:p>
    <w:p w14:paraId="4AA28666" w14:textId="77777777" w:rsidR="00EF097E" w:rsidRPr="00EF097E" w:rsidRDefault="00EF097E" w:rsidP="00EF097E">
      <w:pPr>
        <w:rPr>
          <w:rFonts w:ascii="Arial" w:hAnsi="Arial" w:cs="Arial"/>
        </w:rPr>
      </w:pPr>
      <w:r w:rsidRPr="00EF097E">
        <w:rPr>
          <w:rFonts w:ascii="Arial" w:hAnsi="Arial" w:cs="Arial"/>
        </w:rPr>
        <w:lastRenderedPageBreak/>
        <w:t xml:space="preserve"> It is important that all owners take steps to bring unoccupied homes back into use as soon as possible, rather than leaving them empty.</w:t>
      </w:r>
    </w:p>
    <w:p w14:paraId="580AD1DE" w14:textId="77777777" w:rsidR="005711B4" w:rsidRDefault="005711B4" w:rsidP="00C32A60">
      <w:pPr>
        <w:rPr>
          <w:rFonts w:ascii="Arial" w:hAnsi="Arial" w:cs="Arial"/>
        </w:rPr>
      </w:pPr>
    </w:p>
    <w:p w14:paraId="3222112F" w14:textId="77777777" w:rsidR="005564DE" w:rsidRDefault="005564DE" w:rsidP="00C32A60">
      <w:pPr>
        <w:rPr>
          <w:rFonts w:ascii="Arial" w:hAnsi="Arial" w:cs="Arial"/>
        </w:rPr>
      </w:pPr>
    </w:p>
    <w:p w14:paraId="5FFA0240" w14:textId="77777777" w:rsidR="00EF097E" w:rsidRPr="00DA579E" w:rsidRDefault="00BB30C5" w:rsidP="00C32A60">
      <w:pPr>
        <w:rPr>
          <w:rFonts w:ascii="Arial" w:hAnsi="Arial" w:cs="Arial"/>
          <w:b/>
        </w:rPr>
      </w:pPr>
      <w:r w:rsidRPr="00DA579E">
        <w:rPr>
          <w:rFonts w:ascii="Arial" w:hAnsi="Arial" w:cs="Arial"/>
          <w:b/>
        </w:rPr>
        <w:t>6.0</w:t>
      </w:r>
      <w:r w:rsidRPr="00DA579E">
        <w:rPr>
          <w:rFonts w:ascii="Arial" w:hAnsi="Arial" w:cs="Arial"/>
          <w:b/>
        </w:rPr>
        <w:tab/>
        <w:t>Information</w:t>
      </w:r>
      <w:r w:rsidR="005564DE" w:rsidRPr="00DA579E">
        <w:rPr>
          <w:rFonts w:ascii="Arial" w:hAnsi="Arial" w:cs="Arial"/>
          <w:b/>
        </w:rPr>
        <w:t xml:space="preserve"> Requests</w:t>
      </w:r>
    </w:p>
    <w:p w14:paraId="15354AB6" w14:textId="77777777" w:rsidR="00EF097E" w:rsidRPr="005564DE" w:rsidRDefault="00EF097E" w:rsidP="00C32A60">
      <w:pPr>
        <w:rPr>
          <w:rFonts w:ascii="Arial" w:hAnsi="Arial" w:cs="Arial"/>
        </w:rPr>
      </w:pPr>
    </w:p>
    <w:p w14:paraId="387FEC74" w14:textId="77777777" w:rsidR="00EF097E" w:rsidRPr="005564DE" w:rsidRDefault="005564DE" w:rsidP="005564DE">
      <w:pPr>
        <w:autoSpaceDE w:val="0"/>
        <w:autoSpaceDN w:val="0"/>
        <w:adjustRightInd w:val="0"/>
        <w:rPr>
          <w:rFonts w:ascii="Arial" w:eastAsiaTheme="minorHAnsi" w:hAnsi="Arial" w:cs="Arial"/>
        </w:rPr>
      </w:pPr>
      <w:r>
        <w:rPr>
          <w:rFonts w:ascii="Arial" w:hAnsi="Arial" w:cs="Arial"/>
        </w:rPr>
        <w:t>6.1</w:t>
      </w:r>
      <w:r>
        <w:rPr>
          <w:rFonts w:ascii="Arial" w:hAnsi="Arial" w:cs="Arial"/>
        </w:rPr>
        <w:tab/>
      </w:r>
      <w:r w:rsidRPr="005564DE">
        <w:rPr>
          <w:rFonts w:ascii="Arial" w:hAnsi="Arial" w:cs="Arial"/>
        </w:rPr>
        <w:t xml:space="preserve">The Council Tax (Administration and Enforcement) (Scotland) Amendment Regulations 2012 </w:t>
      </w:r>
      <w:r w:rsidRPr="005564DE">
        <w:rPr>
          <w:rFonts w:ascii="Arial" w:eastAsiaTheme="minorHAnsi" w:hAnsi="Arial" w:cs="Arial"/>
        </w:rPr>
        <w:t xml:space="preserve">require </w:t>
      </w:r>
      <w:r>
        <w:rPr>
          <w:rFonts w:ascii="Arial" w:eastAsiaTheme="minorHAnsi" w:hAnsi="Arial" w:cs="Arial"/>
        </w:rPr>
        <w:t xml:space="preserve">the </w:t>
      </w:r>
      <w:r w:rsidR="008B6A57">
        <w:rPr>
          <w:rFonts w:ascii="Arial" w:eastAsiaTheme="minorHAnsi" w:hAnsi="Arial" w:cs="Arial"/>
        </w:rPr>
        <w:t>c</w:t>
      </w:r>
      <w:r>
        <w:rPr>
          <w:rFonts w:ascii="Arial" w:eastAsiaTheme="minorHAnsi" w:hAnsi="Arial" w:cs="Arial"/>
        </w:rPr>
        <w:t>ouncil</w:t>
      </w:r>
      <w:r w:rsidRPr="005564DE">
        <w:rPr>
          <w:rFonts w:ascii="Arial" w:eastAsiaTheme="minorHAnsi" w:hAnsi="Arial" w:cs="Arial"/>
        </w:rPr>
        <w:t xml:space="preserve"> to take reasonable steps to ascertain whet</w:t>
      </w:r>
      <w:r>
        <w:rPr>
          <w:rFonts w:ascii="Arial" w:eastAsiaTheme="minorHAnsi" w:hAnsi="Arial" w:cs="Arial"/>
        </w:rPr>
        <w:t xml:space="preserve">her a taxpayer is entitled to a </w:t>
      </w:r>
      <w:r w:rsidRPr="005564DE">
        <w:rPr>
          <w:rFonts w:ascii="Arial" w:eastAsiaTheme="minorHAnsi" w:hAnsi="Arial" w:cs="Arial"/>
        </w:rPr>
        <w:t xml:space="preserve">discount or liable to an increased amount before calculating </w:t>
      </w:r>
      <w:r>
        <w:rPr>
          <w:rFonts w:ascii="Arial" w:eastAsiaTheme="minorHAnsi" w:hAnsi="Arial" w:cs="Arial"/>
        </w:rPr>
        <w:t xml:space="preserve">the council tax liability, with </w:t>
      </w:r>
      <w:r w:rsidRPr="005564DE">
        <w:rPr>
          <w:rFonts w:ascii="Arial" w:eastAsiaTheme="minorHAnsi" w:hAnsi="Arial" w:cs="Arial"/>
        </w:rPr>
        <w:t xml:space="preserve">the default position </w:t>
      </w:r>
      <w:r>
        <w:rPr>
          <w:rFonts w:ascii="Arial" w:eastAsiaTheme="minorHAnsi" w:hAnsi="Arial" w:cs="Arial"/>
        </w:rPr>
        <w:t>being</w:t>
      </w:r>
      <w:r w:rsidRPr="005564DE">
        <w:rPr>
          <w:rFonts w:ascii="Arial" w:eastAsiaTheme="minorHAnsi" w:hAnsi="Arial" w:cs="Arial"/>
        </w:rPr>
        <w:t xml:space="preserve"> that there is no variation unless a r</w:t>
      </w:r>
      <w:r>
        <w:rPr>
          <w:rFonts w:ascii="Arial" w:eastAsiaTheme="minorHAnsi" w:hAnsi="Arial" w:cs="Arial"/>
        </w:rPr>
        <w:t xml:space="preserve">eason for </w:t>
      </w:r>
      <w:r w:rsidRPr="005564DE">
        <w:rPr>
          <w:rFonts w:ascii="Arial" w:eastAsiaTheme="minorHAnsi" w:hAnsi="Arial" w:cs="Arial"/>
        </w:rPr>
        <w:t xml:space="preserve">variation is identified. </w:t>
      </w:r>
      <w:r>
        <w:rPr>
          <w:rFonts w:ascii="Arial" w:eastAsiaTheme="minorHAnsi" w:hAnsi="Arial" w:cs="Arial"/>
        </w:rPr>
        <w:t xml:space="preserve">The </w:t>
      </w:r>
      <w:r w:rsidR="008B6A57">
        <w:rPr>
          <w:rFonts w:ascii="Arial" w:eastAsiaTheme="minorHAnsi" w:hAnsi="Arial" w:cs="Arial"/>
        </w:rPr>
        <w:t>c</w:t>
      </w:r>
      <w:r>
        <w:rPr>
          <w:rFonts w:ascii="Arial" w:eastAsiaTheme="minorHAnsi" w:hAnsi="Arial" w:cs="Arial"/>
        </w:rPr>
        <w:t>ouncil is also required to</w:t>
      </w:r>
      <w:r w:rsidRPr="005564DE">
        <w:rPr>
          <w:rFonts w:ascii="Arial" w:eastAsiaTheme="minorHAnsi" w:hAnsi="Arial" w:cs="Arial"/>
        </w:rPr>
        <w:t xml:space="preserve"> ensure that the taxp</w:t>
      </w:r>
      <w:r>
        <w:rPr>
          <w:rFonts w:ascii="Arial" w:eastAsiaTheme="minorHAnsi" w:hAnsi="Arial" w:cs="Arial"/>
        </w:rPr>
        <w:t xml:space="preserve">ayer is notified of assumptions </w:t>
      </w:r>
      <w:r w:rsidRPr="005564DE">
        <w:rPr>
          <w:rFonts w:ascii="Arial" w:eastAsiaTheme="minorHAnsi" w:hAnsi="Arial" w:cs="Arial"/>
        </w:rPr>
        <w:t>made and of their responsibilities to advise of changes in their c</w:t>
      </w:r>
      <w:r>
        <w:rPr>
          <w:rFonts w:ascii="Arial" w:eastAsiaTheme="minorHAnsi" w:hAnsi="Arial" w:cs="Arial"/>
        </w:rPr>
        <w:t xml:space="preserve">ircumstances or of an erroneous </w:t>
      </w:r>
      <w:r w:rsidRPr="005564DE">
        <w:rPr>
          <w:rFonts w:ascii="Arial" w:eastAsiaTheme="minorHAnsi" w:hAnsi="Arial" w:cs="Arial"/>
        </w:rPr>
        <w:t>assumption.</w:t>
      </w:r>
    </w:p>
    <w:p w14:paraId="1E9EEACB" w14:textId="77777777" w:rsidR="00EF097E" w:rsidRDefault="00EF097E" w:rsidP="00C32A60">
      <w:pPr>
        <w:rPr>
          <w:rFonts w:ascii="Arial" w:hAnsi="Arial" w:cs="Arial"/>
        </w:rPr>
      </w:pPr>
    </w:p>
    <w:p w14:paraId="51A2409E" w14:textId="77777777" w:rsidR="005564DE" w:rsidRPr="005564DE" w:rsidRDefault="005564DE" w:rsidP="005564DE">
      <w:pPr>
        <w:autoSpaceDE w:val="0"/>
        <w:autoSpaceDN w:val="0"/>
        <w:adjustRightInd w:val="0"/>
        <w:rPr>
          <w:rFonts w:ascii="Arial" w:eastAsiaTheme="minorHAnsi" w:hAnsi="Arial" w:cs="Arial"/>
        </w:rPr>
      </w:pPr>
      <w:r>
        <w:rPr>
          <w:rFonts w:ascii="Arial" w:hAnsi="Arial" w:cs="Arial"/>
        </w:rPr>
        <w:t>6.2</w:t>
      </w:r>
      <w:r>
        <w:rPr>
          <w:rFonts w:ascii="Arial" w:hAnsi="Arial" w:cs="Arial"/>
        </w:rPr>
        <w:tab/>
      </w:r>
      <w:r w:rsidRPr="005564DE">
        <w:rPr>
          <w:rFonts w:ascii="Arial" w:hAnsi="Arial" w:cs="Arial"/>
        </w:rPr>
        <w:t xml:space="preserve">The regulations also place </w:t>
      </w:r>
      <w:r w:rsidRPr="005564DE">
        <w:rPr>
          <w:rFonts w:ascii="Arial" w:eastAsiaTheme="minorHAnsi" w:hAnsi="Arial" w:cs="Arial"/>
        </w:rPr>
        <w:t>an obligation on specific persons to provide i</w:t>
      </w:r>
      <w:r>
        <w:rPr>
          <w:rFonts w:ascii="Arial" w:eastAsiaTheme="minorHAnsi" w:hAnsi="Arial" w:cs="Arial"/>
        </w:rPr>
        <w:t xml:space="preserve">nformation which is sought by the </w:t>
      </w:r>
      <w:r w:rsidR="008B6A57">
        <w:rPr>
          <w:rFonts w:ascii="Arial" w:eastAsiaTheme="minorHAnsi" w:hAnsi="Arial" w:cs="Arial"/>
        </w:rPr>
        <w:t>c</w:t>
      </w:r>
      <w:r>
        <w:rPr>
          <w:rFonts w:ascii="Arial" w:eastAsiaTheme="minorHAnsi" w:hAnsi="Arial" w:cs="Arial"/>
        </w:rPr>
        <w:t>ouncil</w:t>
      </w:r>
      <w:r w:rsidRPr="005564DE">
        <w:rPr>
          <w:rFonts w:ascii="Arial" w:eastAsiaTheme="minorHAnsi" w:hAnsi="Arial" w:cs="Arial"/>
        </w:rPr>
        <w:t xml:space="preserve"> for the purposes of ascertaining whether a disc</w:t>
      </w:r>
      <w:r>
        <w:rPr>
          <w:rFonts w:ascii="Arial" w:eastAsiaTheme="minorHAnsi" w:hAnsi="Arial" w:cs="Arial"/>
        </w:rPr>
        <w:t xml:space="preserve">ount or increase in council tax </w:t>
      </w:r>
      <w:r w:rsidRPr="005564DE">
        <w:rPr>
          <w:rFonts w:ascii="Arial" w:eastAsiaTheme="minorHAnsi" w:hAnsi="Arial" w:cs="Arial"/>
        </w:rPr>
        <w:t xml:space="preserve">liability applies </w:t>
      </w:r>
      <w:proofErr w:type="gramStart"/>
      <w:r w:rsidRPr="005564DE">
        <w:rPr>
          <w:rFonts w:ascii="Arial" w:eastAsiaTheme="minorHAnsi" w:hAnsi="Arial" w:cs="Arial"/>
        </w:rPr>
        <w:t>as a result of</w:t>
      </w:r>
      <w:proofErr w:type="gramEnd"/>
      <w:r w:rsidRPr="005564DE">
        <w:rPr>
          <w:rFonts w:ascii="Arial" w:eastAsiaTheme="minorHAnsi" w:hAnsi="Arial" w:cs="Arial"/>
        </w:rPr>
        <w:t xml:space="preserve"> non-occupation of the dwelling.</w:t>
      </w:r>
    </w:p>
    <w:p w14:paraId="5895C331" w14:textId="77777777" w:rsidR="005564DE" w:rsidRDefault="005564DE" w:rsidP="00C32A60">
      <w:pPr>
        <w:rPr>
          <w:rFonts w:ascii="Arial" w:hAnsi="Arial" w:cs="Arial"/>
        </w:rPr>
      </w:pPr>
    </w:p>
    <w:p w14:paraId="046E07D2" w14:textId="77777777" w:rsidR="004B12CD" w:rsidRDefault="004B12CD" w:rsidP="00C32A60">
      <w:pPr>
        <w:rPr>
          <w:rFonts w:ascii="Arial" w:hAnsi="Arial" w:cs="Arial"/>
        </w:rPr>
      </w:pPr>
    </w:p>
    <w:p w14:paraId="0C2EAEAD" w14:textId="77777777" w:rsidR="00C32A60" w:rsidRPr="00DA579E" w:rsidRDefault="0014355B" w:rsidP="00C32A60">
      <w:pPr>
        <w:rPr>
          <w:rFonts w:ascii="Arial" w:hAnsi="Arial" w:cs="Arial"/>
          <w:b/>
        </w:rPr>
      </w:pPr>
      <w:r w:rsidRPr="00DA579E">
        <w:rPr>
          <w:rFonts w:ascii="Arial" w:hAnsi="Arial" w:cs="Arial"/>
          <w:b/>
        </w:rPr>
        <w:t>7.0</w:t>
      </w:r>
      <w:r w:rsidR="00F124D8" w:rsidRPr="00DA579E">
        <w:rPr>
          <w:rFonts w:ascii="Arial" w:hAnsi="Arial" w:cs="Arial"/>
          <w:b/>
        </w:rPr>
        <w:t xml:space="preserve"> </w:t>
      </w:r>
      <w:r w:rsidR="00BB556C" w:rsidRPr="00DA579E">
        <w:rPr>
          <w:rFonts w:ascii="Arial" w:hAnsi="Arial" w:cs="Arial"/>
          <w:b/>
        </w:rPr>
        <w:tab/>
      </w:r>
      <w:r w:rsidR="008440A2">
        <w:rPr>
          <w:rFonts w:ascii="Arial" w:hAnsi="Arial" w:cs="Arial"/>
          <w:b/>
        </w:rPr>
        <w:t>Council Tax</w:t>
      </w:r>
      <w:r w:rsidRPr="00DA579E">
        <w:rPr>
          <w:rFonts w:ascii="Arial" w:hAnsi="Arial" w:cs="Arial"/>
          <w:b/>
        </w:rPr>
        <w:t xml:space="preserve"> </w:t>
      </w:r>
      <w:r w:rsidR="008F259C">
        <w:rPr>
          <w:rFonts w:ascii="Arial" w:hAnsi="Arial" w:cs="Arial"/>
          <w:b/>
        </w:rPr>
        <w:t>Levy</w:t>
      </w:r>
      <w:r w:rsidR="008B6A57">
        <w:rPr>
          <w:rFonts w:ascii="Arial" w:hAnsi="Arial" w:cs="Arial"/>
          <w:b/>
        </w:rPr>
        <w:t xml:space="preserve"> </w:t>
      </w:r>
      <w:r w:rsidR="008440A2">
        <w:rPr>
          <w:rFonts w:ascii="Arial" w:hAnsi="Arial" w:cs="Arial"/>
          <w:b/>
        </w:rPr>
        <w:t>Policy</w:t>
      </w:r>
    </w:p>
    <w:p w14:paraId="75EFDCD7" w14:textId="77777777" w:rsidR="00F124D8" w:rsidRDefault="00F124D8" w:rsidP="00C32A60">
      <w:pPr>
        <w:rPr>
          <w:rFonts w:ascii="Arial" w:hAnsi="Arial"/>
          <w:b/>
        </w:rPr>
      </w:pPr>
    </w:p>
    <w:p w14:paraId="0DF81494" w14:textId="77777777" w:rsidR="00F9244D" w:rsidRDefault="008B6A57" w:rsidP="00F9244D">
      <w:pPr>
        <w:rPr>
          <w:rFonts w:ascii="Arial" w:hAnsi="Arial" w:cs="Arial"/>
        </w:rPr>
      </w:pPr>
      <w:r>
        <w:rPr>
          <w:rFonts w:ascii="Arial" w:hAnsi="Arial" w:cs="Arial"/>
        </w:rPr>
        <w:t>7.1</w:t>
      </w:r>
      <w:r>
        <w:rPr>
          <w:rFonts w:ascii="Arial" w:hAnsi="Arial" w:cs="Arial"/>
        </w:rPr>
        <w:tab/>
      </w:r>
      <w:r w:rsidR="00F9244D">
        <w:rPr>
          <w:rFonts w:ascii="Arial" w:hAnsi="Arial" w:cs="Arial"/>
        </w:rPr>
        <w:t xml:space="preserve">Under this policy the council tax increase to be applied </w:t>
      </w:r>
      <w:r w:rsidR="00B8065F">
        <w:rPr>
          <w:rFonts w:ascii="Arial" w:hAnsi="Arial" w:cs="Arial"/>
        </w:rPr>
        <w:t xml:space="preserve">by Inverclyde Council </w:t>
      </w:r>
      <w:r w:rsidR="00F9244D">
        <w:rPr>
          <w:rFonts w:ascii="Arial" w:hAnsi="Arial" w:cs="Arial"/>
        </w:rPr>
        <w:t>is:</w:t>
      </w:r>
    </w:p>
    <w:p w14:paraId="013A179C" w14:textId="77777777" w:rsidR="00F9244D" w:rsidRDefault="00F9244D" w:rsidP="00F9244D">
      <w:pPr>
        <w:rPr>
          <w:rFonts w:ascii="Arial" w:hAnsi="Arial" w:cs="Arial"/>
        </w:rPr>
      </w:pPr>
    </w:p>
    <w:p w14:paraId="2CA864BC" w14:textId="77777777" w:rsidR="00F9244D" w:rsidRPr="00C12138" w:rsidRDefault="00F9244D" w:rsidP="00F9244D">
      <w:pPr>
        <w:pStyle w:val="ListParagraph"/>
        <w:numPr>
          <w:ilvl w:val="0"/>
          <w:numId w:val="7"/>
        </w:numPr>
        <w:rPr>
          <w:rFonts w:ascii="Arial" w:hAnsi="Arial" w:cs="Arial"/>
        </w:rPr>
      </w:pPr>
      <w:r w:rsidRPr="00C12138">
        <w:rPr>
          <w:rFonts w:ascii="Arial" w:hAnsi="Arial" w:cs="Arial"/>
        </w:rPr>
        <w:t>From 1</w:t>
      </w:r>
      <w:r w:rsidRPr="00C12138">
        <w:rPr>
          <w:rFonts w:ascii="Arial" w:hAnsi="Arial" w:cs="Arial"/>
          <w:vertAlign w:val="superscript"/>
        </w:rPr>
        <w:t>st</w:t>
      </w:r>
      <w:r w:rsidRPr="00C12138">
        <w:rPr>
          <w:rFonts w:ascii="Arial" w:hAnsi="Arial" w:cs="Arial"/>
        </w:rPr>
        <w:t xml:space="preserve"> April 2016 </w:t>
      </w:r>
      <w:r w:rsidR="008B6A57" w:rsidRPr="00C12138">
        <w:rPr>
          <w:rFonts w:ascii="Arial" w:hAnsi="Arial" w:cs="Arial"/>
        </w:rPr>
        <w:t xml:space="preserve">the </w:t>
      </w:r>
      <w:r w:rsidR="008440A2">
        <w:rPr>
          <w:rFonts w:ascii="Arial" w:hAnsi="Arial" w:cs="Arial"/>
        </w:rPr>
        <w:t>increase</w:t>
      </w:r>
      <w:r w:rsidR="008B6A57" w:rsidRPr="00C12138">
        <w:rPr>
          <w:rFonts w:ascii="Arial" w:hAnsi="Arial" w:cs="Arial"/>
        </w:rPr>
        <w:t xml:space="preserve"> is set at</w:t>
      </w:r>
      <w:r w:rsidRPr="00C12138">
        <w:rPr>
          <w:rFonts w:ascii="Arial" w:hAnsi="Arial" w:cs="Arial"/>
        </w:rPr>
        <w:t xml:space="preserve"> 30% of the annual council tax charge for the property.  </w:t>
      </w:r>
    </w:p>
    <w:p w14:paraId="532D4874" w14:textId="77777777" w:rsidR="00F9244D" w:rsidRPr="00C12138" w:rsidRDefault="00F9244D" w:rsidP="00F9244D">
      <w:pPr>
        <w:pStyle w:val="ListParagraph"/>
        <w:numPr>
          <w:ilvl w:val="0"/>
          <w:numId w:val="7"/>
        </w:numPr>
        <w:rPr>
          <w:rFonts w:ascii="Arial" w:hAnsi="Arial" w:cs="Arial"/>
        </w:rPr>
      </w:pPr>
      <w:r w:rsidRPr="00C12138">
        <w:rPr>
          <w:rFonts w:ascii="Arial" w:hAnsi="Arial" w:cs="Arial"/>
        </w:rPr>
        <w:t>From 1</w:t>
      </w:r>
      <w:r w:rsidRPr="00C12138">
        <w:rPr>
          <w:rFonts w:ascii="Arial" w:hAnsi="Arial" w:cs="Arial"/>
          <w:vertAlign w:val="superscript"/>
        </w:rPr>
        <w:t>st</w:t>
      </w:r>
      <w:r w:rsidRPr="00C12138">
        <w:rPr>
          <w:rFonts w:ascii="Arial" w:hAnsi="Arial" w:cs="Arial"/>
        </w:rPr>
        <w:t xml:space="preserve"> April 2018</w:t>
      </w:r>
      <w:r w:rsidR="008440A2">
        <w:rPr>
          <w:rFonts w:ascii="Arial" w:hAnsi="Arial" w:cs="Arial"/>
        </w:rPr>
        <w:t xml:space="preserve"> the increase</w:t>
      </w:r>
      <w:r w:rsidR="008B6A57" w:rsidRPr="00C12138">
        <w:rPr>
          <w:rFonts w:ascii="Arial" w:hAnsi="Arial" w:cs="Arial"/>
        </w:rPr>
        <w:t xml:space="preserve"> is set at</w:t>
      </w:r>
      <w:r w:rsidRPr="00C12138">
        <w:rPr>
          <w:rFonts w:ascii="Arial" w:hAnsi="Arial" w:cs="Arial"/>
        </w:rPr>
        <w:t xml:space="preserve"> 50% of the annual council tax charge for the property.</w:t>
      </w:r>
    </w:p>
    <w:p w14:paraId="0B416C6A" w14:textId="77777777" w:rsidR="00F9244D" w:rsidRPr="00C12138" w:rsidRDefault="00F9244D" w:rsidP="00F9244D">
      <w:pPr>
        <w:pStyle w:val="ListParagraph"/>
        <w:numPr>
          <w:ilvl w:val="0"/>
          <w:numId w:val="7"/>
        </w:numPr>
        <w:rPr>
          <w:rFonts w:ascii="Arial" w:hAnsi="Arial" w:cs="Arial"/>
        </w:rPr>
      </w:pPr>
      <w:r w:rsidRPr="00C12138">
        <w:rPr>
          <w:rFonts w:ascii="Arial" w:hAnsi="Arial" w:cs="Arial"/>
        </w:rPr>
        <w:t>From 1</w:t>
      </w:r>
      <w:r w:rsidRPr="00C12138">
        <w:rPr>
          <w:rFonts w:ascii="Arial" w:hAnsi="Arial" w:cs="Arial"/>
          <w:vertAlign w:val="superscript"/>
        </w:rPr>
        <w:t>st</w:t>
      </w:r>
      <w:r w:rsidRPr="00C12138">
        <w:rPr>
          <w:rFonts w:ascii="Arial" w:hAnsi="Arial" w:cs="Arial"/>
        </w:rPr>
        <w:t xml:space="preserve"> April 2019 </w:t>
      </w:r>
      <w:r w:rsidR="008B6A57" w:rsidRPr="00C12138">
        <w:rPr>
          <w:rFonts w:ascii="Arial" w:hAnsi="Arial" w:cs="Arial"/>
        </w:rPr>
        <w:t xml:space="preserve">the </w:t>
      </w:r>
      <w:r w:rsidR="008440A2">
        <w:rPr>
          <w:rFonts w:ascii="Arial" w:hAnsi="Arial" w:cs="Arial"/>
        </w:rPr>
        <w:t>increase</w:t>
      </w:r>
      <w:r w:rsidR="008B6A57" w:rsidRPr="00C12138">
        <w:rPr>
          <w:rFonts w:ascii="Arial" w:hAnsi="Arial" w:cs="Arial"/>
        </w:rPr>
        <w:t xml:space="preserve"> is set at</w:t>
      </w:r>
      <w:r w:rsidRPr="00C12138">
        <w:rPr>
          <w:rFonts w:ascii="Arial" w:hAnsi="Arial" w:cs="Arial"/>
        </w:rPr>
        <w:t xml:space="preserve"> 100% of the annual council tax charge for the property.</w:t>
      </w:r>
    </w:p>
    <w:p w14:paraId="67E8C744" w14:textId="77777777" w:rsidR="00DA579E" w:rsidRPr="00C12138" w:rsidRDefault="00DA579E" w:rsidP="00C32A60">
      <w:pPr>
        <w:rPr>
          <w:rFonts w:ascii="Arial" w:hAnsi="Arial"/>
        </w:rPr>
      </w:pPr>
    </w:p>
    <w:p w14:paraId="683174B6" w14:textId="77777777" w:rsidR="00DA579E" w:rsidRPr="00C12138" w:rsidRDefault="00DA579E" w:rsidP="00C32A60">
      <w:pPr>
        <w:rPr>
          <w:rFonts w:ascii="Arial" w:hAnsi="Arial"/>
        </w:rPr>
      </w:pPr>
      <w:r w:rsidRPr="00C12138">
        <w:rPr>
          <w:rFonts w:ascii="Arial" w:hAnsi="Arial"/>
        </w:rPr>
        <w:t>7.2</w:t>
      </w:r>
      <w:r w:rsidRPr="00C12138">
        <w:rPr>
          <w:rFonts w:ascii="Arial" w:hAnsi="Arial"/>
        </w:rPr>
        <w:tab/>
      </w:r>
      <w:r w:rsidR="008B6A57" w:rsidRPr="00C12138">
        <w:rPr>
          <w:rFonts w:ascii="Arial" w:hAnsi="Arial"/>
        </w:rPr>
        <w:t>T</w:t>
      </w:r>
      <w:r w:rsidR="00845B19" w:rsidRPr="00C12138">
        <w:rPr>
          <w:rFonts w:ascii="Arial" w:hAnsi="Arial"/>
        </w:rPr>
        <w:t xml:space="preserve">here is no </w:t>
      </w:r>
      <w:r w:rsidR="008440A2">
        <w:rPr>
          <w:rFonts w:ascii="Arial" w:hAnsi="Arial"/>
        </w:rPr>
        <w:t>council tax increase</w:t>
      </w:r>
      <w:r w:rsidR="00845B19" w:rsidRPr="00C12138">
        <w:rPr>
          <w:rFonts w:ascii="Arial" w:hAnsi="Arial"/>
        </w:rPr>
        <w:t xml:space="preserve"> on the water and sewerage charge.</w:t>
      </w:r>
    </w:p>
    <w:p w14:paraId="4C57515E" w14:textId="77777777" w:rsidR="00B926DF" w:rsidRDefault="00B926DF" w:rsidP="00C32A60">
      <w:pPr>
        <w:rPr>
          <w:rFonts w:ascii="Arial" w:hAnsi="Arial"/>
        </w:rPr>
      </w:pPr>
    </w:p>
    <w:p w14:paraId="4CD96887" w14:textId="77777777" w:rsidR="00DA579E" w:rsidRDefault="00B926DF" w:rsidP="00C32A60">
      <w:pPr>
        <w:rPr>
          <w:rFonts w:ascii="Arial" w:hAnsi="Arial"/>
        </w:rPr>
      </w:pPr>
      <w:r>
        <w:rPr>
          <w:rFonts w:ascii="Arial" w:hAnsi="Arial"/>
        </w:rPr>
        <w:t>7.3</w:t>
      </w:r>
      <w:r>
        <w:rPr>
          <w:rFonts w:ascii="Arial" w:hAnsi="Arial"/>
        </w:rPr>
        <w:tab/>
      </w:r>
      <w:r w:rsidR="00166441">
        <w:rPr>
          <w:rFonts w:ascii="Arial" w:hAnsi="Arial"/>
        </w:rPr>
        <w:t>T</w:t>
      </w:r>
      <w:r w:rsidR="00D15576" w:rsidRPr="00D15576">
        <w:rPr>
          <w:rFonts w:ascii="Arial" w:hAnsi="Arial"/>
        </w:rPr>
        <w:t xml:space="preserve">he Council Tax levy </w:t>
      </w:r>
      <w:r w:rsidR="00166441">
        <w:rPr>
          <w:rFonts w:ascii="Arial" w:hAnsi="Arial"/>
        </w:rPr>
        <w:t>does not apply to</w:t>
      </w:r>
      <w:r w:rsidR="00D15576" w:rsidRPr="00D15576">
        <w:rPr>
          <w:rFonts w:ascii="Arial" w:hAnsi="Arial"/>
        </w:rPr>
        <w:t xml:space="preserve"> property located in the Clune Park Estate </w:t>
      </w:r>
      <w:r w:rsidR="008347A9">
        <w:rPr>
          <w:rFonts w:ascii="Arial" w:hAnsi="Arial"/>
        </w:rPr>
        <w:t xml:space="preserve">that is </w:t>
      </w:r>
      <w:r w:rsidR="00D15576" w:rsidRPr="00D15576">
        <w:rPr>
          <w:rFonts w:ascii="Arial" w:hAnsi="Arial"/>
        </w:rPr>
        <w:t xml:space="preserve">not owned by </w:t>
      </w:r>
      <w:r w:rsidR="008347A9">
        <w:rPr>
          <w:rFonts w:ascii="Arial" w:hAnsi="Arial"/>
        </w:rPr>
        <w:t>Inverclyde</w:t>
      </w:r>
      <w:r w:rsidR="00D15576" w:rsidRPr="00D15576">
        <w:rPr>
          <w:rFonts w:ascii="Arial" w:hAnsi="Arial"/>
        </w:rPr>
        <w:t xml:space="preserve"> Council.</w:t>
      </w:r>
      <w:r w:rsidR="00D15576">
        <w:rPr>
          <w:rFonts w:ascii="Arial" w:hAnsi="Arial"/>
        </w:rPr>
        <w:t xml:space="preserve"> </w:t>
      </w:r>
      <w:r>
        <w:rPr>
          <w:rFonts w:ascii="Arial" w:hAnsi="Arial"/>
        </w:rPr>
        <w:t xml:space="preserve">The </w:t>
      </w:r>
      <w:r w:rsidR="008440A2">
        <w:rPr>
          <w:rFonts w:ascii="Arial" w:hAnsi="Arial"/>
        </w:rPr>
        <w:t>increase</w:t>
      </w:r>
      <w:r>
        <w:rPr>
          <w:rFonts w:ascii="Arial" w:hAnsi="Arial"/>
        </w:rPr>
        <w:t xml:space="preserve"> applies to</w:t>
      </w:r>
      <w:r w:rsidR="00D15576">
        <w:rPr>
          <w:rFonts w:ascii="Arial" w:hAnsi="Arial"/>
        </w:rPr>
        <w:t xml:space="preserve"> all other parts of the Council area.  </w:t>
      </w:r>
    </w:p>
    <w:p w14:paraId="4B8BD3AA" w14:textId="77777777" w:rsidR="00D15576" w:rsidRPr="00C12138" w:rsidRDefault="00D15576" w:rsidP="00C32A60">
      <w:pPr>
        <w:rPr>
          <w:rFonts w:ascii="Arial" w:hAnsi="Arial"/>
        </w:rPr>
      </w:pPr>
    </w:p>
    <w:p w14:paraId="4E440BAE" w14:textId="77777777" w:rsidR="00F124D8" w:rsidRPr="00C12138" w:rsidRDefault="00815137" w:rsidP="00C32A60">
      <w:pPr>
        <w:rPr>
          <w:rFonts w:ascii="Arial" w:hAnsi="Arial"/>
        </w:rPr>
      </w:pPr>
      <w:r w:rsidRPr="00C12138">
        <w:rPr>
          <w:rFonts w:ascii="Arial" w:hAnsi="Arial"/>
        </w:rPr>
        <w:t>7.4</w:t>
      </w:r>
      <w:r w:rsidR="00845B19" w:rsidRPr="00C12138">
        <w:rPr>
          <w:rFonts w:ascii="Arial" w:hAnsi="Arial"/>
        </w:rPr>
        <w:tab/>
      </w:r>
      <w:r w:rsidR="0031747F" w:rsidRPr="00C12138">
        <w:rPr>
          <w:rFonts w:ascii="Arial" w:hAnsi="Arial"/>
        </w:rPr>
        <w:t xml:space="preserve">In order to ascertain whether a vacant property is eligible for the council tax </w:t>
      </w:r>
      <w:r w:rsidR="008440A2">
        <w:rPr>
          <w:rFonts w:ascii="Arial" w:hAnsi="Arial"/>
        </w:rPr>
        <w:t>increase</w:t>
      </w:r>
      <w:r w:rsidR="0031747F" w:rsidRPr="00C12138">
        <w:rPr>
          <w:rFonts w:ascii="Arial" w:hAnsi="Arial"/>
        </w:rPr>
        <w:t xml:space="preserve">, a </w:t>
      </w:r>
      <w:r w:rsidR="003C0506" w:rsidRPr="00C12138">
        <w:rPr>
          <w:rFonts w:ascii="Arial" w:hAnsi="Arial"/>
        </w:rPr>
        <w:t>review form</w:t>
      </w:r>
      <w:r w:rsidR="0031747F" w:rsidRPr="00C12138">
        <w:rPr>
          <w:rFonts w:ascii="Arial" w:hAnsi="Arial"/>
        </w:rPr>
        <w:t xml:space="preserve"> will be issued once a property has been unoccupied for 12 months. </w:t>
      </w:r>
    </w:p>
    <w:p w14:paraId="2380F3C5" w14:textId="77777777" w:rsidR="003C0506" w:rsidRPr="00C12138" w:rsidRDefault="0031747F" w:rsidP="00C32A60">
      <w:pPr>
        <w:rPr>
          <w:rFonts w:ascii="Arial" w:hAnsi="Arial"/>
        </w:rPr>
      </w:pPr>
      <w:r w:rsidRPr="00C12138">
        <w:rPr>
          <w:rFonts w:ascii="Arial" w:hAnsi="Arial"/>
        </w:rPr>
        <w:t>7</w:t>
      </w:r>
      <w:r w:rsidR="00845B19" w:rsidRPr="00C12138">
        <w:rPr>
          <w:rFonts w:ascii="Arial" w:hAnsi="Arial"/>
        </w:rPr>
        <w:t>.</w:t>
      </w:r>
      <w:r w:rsidR="00815137" w:rsidRPr="00C12138">
        <w:rPr>
          <w:rFonts w:ascii="Arial" w:hAnsi="Arial"/>
        </w:rPr>
        <w:t>5</w:t>
      </w:r>
      <w:r w:rsidR="00F124D8" w:rsidRPr="00C12138">
        <w:rPr>
          <w:rFonts w:ascii="Arial" w:hAnsi="Arial"/>
        </w:rPr>
        <w:t xml:space="preserve"> </w:t>
      </w:r>
      <w:r w:rsidRPr="00C12138">
        <w:rPr>
          <w:rFonts w:ascii="Arial" w:hAnsi="Arial"/>
        </w:rPr>
        <w:tab/>
      </w:r>
      <w:r w:rsidR="003C0506" w:rsidRPr="00C12138">
        <w:rPr>
          <w:rFonts w:ascii="Arial" w:hAnsi="Arial"/>
        </w:rPr>
        <w:t>Once the review form is returned a decision will be made on whether the property is entitled to a discount or should be subject to an increased amount.</w:t>
      </w:r>
    </w:p>
    <w:p w14:paraId="25149313" w14:textId="77777777" w:rsidR="003C0506" w:rsidRPr="00AC6000" w:rsidRDefault="003C0506" w:rsidP="00C32A60">
      <w:pPr>
        <w:rPr>
          <w:rFonts w:ascii="Arial" w:hAnsi="Arial"/>
          <w:color w:val="FF0000"/>
        </w:rPr>
      </w:pPr>
    </w:p>
    <w:p w14:paraId="215B16D2" w14:textId="77777777" w:rsidR="00F124D8" w:rsidRDefault="00845B19" w:rsidP="00C32A60">
      <w:pPr>
        <w:rPr>
          <w:rFonts w:ascii="Arial" w:hAnsi="Arial"/>
        </w:rPr>
      </w:pPr>
      <w:r>
        <w:rPr>
          <w:rFonts w:ascii="Arial" w:hAnsi="Arial"/>
        </w:rPr>
        <w:t>7.</w:t>
      </w:r>
      <w:r w:rsidR="00815137">
        <w:rPr>
          <w:rFonts w:ascii="Arial" w:hAnsi="Arial"/>
        </w:rPr>
        <w:t>6</w:t>
      </w:r>
      <w:r w:rsidR="003C0506">
        <w:rPr>
          <w:rFonts w:ascii="Arial" w:hAnsi="Arial"/>
        </w:rPr>
        <w:tab/>
      </w:r>
      <w:r w:rsidR="00F124D8">
        <w:rPr>
          <w:rFonts w:ascii="Arial" w:hAnsi="Arial"/>
        </w:rPr>
        <w:t xml:space="preserve">Any additional information or evidence </w:t>
      </w:r>
      <w:r w:rsidR="003C0506">
        <w:rPr>
          <w:rFonts w:ascii="Arial" w:hAnsi="Arial"/>
        </w:rPr>
        <w:t>required will be requested from the owner.</w:t>
      </w:r>
    </w:p>
    <w:p w14:paraId="3E8744BD" w14:textId="77777777" w:rsidR="00F5023A" w:rsidRDefault="00F5023A" w:rsidP="00C32A60">
      <w:pPr>
        <w:rPr>
          <w:rFonts w:ascii="Arial" w:hAnsi="Arial"/>
        </w:rPr>
      </w:pPr>
    </w:p>
    <w:p w14:paraId="6664E751" w14:textId="77777777" w:rsidR="00F5023A" w:rsidRDefault="00845B19" w:rsidP="00F5023A">
      <w:pPr>
        <w:rPr>
          <w:rFonts w:ascii="Arial" w:hAnsi="Arial" w:cs="Arial"/>
        </w:rPr>
      </w:pPr>
      <w:r>
        <w:rPr>
          <w:rFonts w:ascii="Arial" w:hAnsi="Arial"/>
        </w:rPr>
        <w:lastRenderedPageBreak/>
        <w:t>7.</w:t>
      </w:r>
      <w:r w:rsidR="00815137">
        <w:rPr>
          <w:rFonts w:ascii="Arial" w:hAnsi="Arial"/>
        </w:rPr>
        <w:t>7</w:t>
      </w:r>
      <w:r w:rsidR="00F5023A">
        <w:rPr>
          <w:rFonts w:ascii="Arial" w:hAnsi="Arial"/>
        </w:rPr>
        <w:tab/>
      </w:r>
      <w:r w:rsidR="00F5023A" w:rsidRPr="00622854">
        <w:rPr>
          <w:rFonts w:ascii="Arial" w:hAnsi="Arial" w:cs="Arial"/>
        </w:rPr>
        <w:t xml:space="preserve">Visiting officers may </w:t>
      </w:r>
      <w:r w:rsidR="00F5023A">
        <w:rPr>
          <w:rFonts w:ascii="Arial" w:hAnsi="Arial" w:cs="Arial"/>
        </w:rPr>
        <w:t xml:space="preserve">also </w:t>
      </w:r>
      <w:r w:rsidR="00F5023A" w:rsidRPr="00622854">
        <w:rPr>
          <w:rFonts w:ascii="Arial" w:hAnsi="Arial" w:cs="Arial"/>
        </w:rPr>
        <w:t>be utilised to follow up on individual properties</w:t>
      </w:r>
      <w:r w:rsidR="00F5023A">
        <w:rPr>
          <w:rFonts w:ascii="Arial" w:hAnsi="Arial" w:cs="Arial"/>
        </w:rPr>
        <w:t>.</w:t>
      </w:r>
    </w:p>
    <w:p w14:paraId="480AF467" w14:textId="77777777" w:rsidR="00B8065F" w:rsidRDefault="00B8065F" w:rsidP="00F5023A">
      <w:pPr>
        <w:rPr>
          <w:rFonts w:ascii="Arial" w:hAnsi="Arial" w:cs="Arial"/>
        </w:rPr>
      </w:pPr>
    </w:p>
    <w:p w14:paraId="674EF56C" w14:textId="77777777" w:rsidR="00B8065F" w:rsidRPr="00622854" w:rsidRDefault="00B8065F" w:rsidP="00F5023A">
      <w:pPr>
        <w:rPr>
          <w:rFonts w:ascii="Arial" w:hAnsi="Arial" w:cs="Arial"/>
        </w:rPr>
      </w:pPr>
      <w:r>
        <w:rPr>
          <w:rFonts w:ascii="Arial" w:hAnsi="Arial" w:cs="Arial"/>
        </w:rPr>
        <w:t>7.8</w:t>
      </w:r>
      <w:r>
        <w:rPr>
          <w:rFonts w:ascii="Arial" w:hAnsi="Arial" w:cs="Arial"/>
        </w:rPr>
        <w:tab/>
        <w:t>Officers will carry out checks to verify claims and any decision made is final subject to appeal.</w:t>
      </w:r>
    </w:p>
    <w:p w14:paraId="5B2A208D" w14:textId="77777777" w:rsidR="00110C8C" w:rsidRDefault="00110C8C" w:rsidP="00C32A60">
      <w:pPr>
        <w:rPr>
          <w:rFonts w:ascii="Arial" w:hAnsi="Arial"/>
        </w:rPr>
      </w:pPr>
    </w:p>
    <w:p w14:paraId="7A2FA5C6" w14:textId="77777777" w:rsidR="008B6A57" w:rsidRDefault="003C0506" w:rsidP="00C32A60">
      <w:pPr>
        <w:rPr>
          <w:rFonts w:ascii="Arial" w:hAnsi="Arial"/>
        </w:rPr>
      </w:pPr>
      <w:r>
        <w:rPr>
          <w:rFonts w:ascii="Arial" w:hAnsi="Arial"/>
        </w:rPr>
        <w:t>7</w:t>
      </w:r>
      <w:r w:rsidR="00F124D8">
        <w:rPr>
          <w:rFonts w:ascii="Arial" w:hAnsi="Arial"/>
        </w:rPr>
        <w:t>.</w:t>
      </w:r>
      <w:r w:rsidR="00B8065F">
        <w:rPr>
          <w:rFonts w:ascii="Arial" w:hAnsi="Arial"/>
        </w:rPr>
        <w:t>9</w:t>
      </w:r>
      <w:r>
        <w:rPr>
          <w:rFonts w:ascii="Arial" w:hAnsi="Arial"/>
        </w:rPr>
        <w:tab/>
      </w:r>
      <w:r w:rsidR="00F124D8">
        <w:rPr>
          <w:rFonts w:ascii="Arial" w:hAnsi="Arial"/>
        </w:rPr>
        <w:t xml:space="preserve"> </w:t>
      </w:r>
      <w:r w:rsidR="00BB556C">
        <w:rPr>
          <w:rFonts w:ascii="Arial" w:hAnsi="Arial"/>
        </w:rPr>
        <w:t>Once the review form has been processed t</w:t>
      </w:r>
      <w:r>
        <w:rPr>
          <w:rFonts w:ascii="Arial" w:hAnsi="Arial"/>
        </w:rPr>
        <w:t xml:space="preserve">he owner will be notified </w:t>
      </w:r>
      <w:r w:rsidR="00BB556C">
        <w:rPr>
          <w:rFonts w:ascii="Arial" w:hAnsi="Arial"/>
        </w:rPr>
        <w:t xml:space="preserve">in writing </w:t>
      </w:r>
      <w:r>
        <w:rPr>
          <w:rFonts w:ascii="Arial" w:hAnsi="Arial"/>
        </w:rPr>
        <w:t>of the decision</w:t>
      </w:r>
      <w:r w:rsidR="00BB556C">
        <w:rPr>
          <w:rFonts w:ascii="Arial" w:hAnsi="Arial"/>
        </w:rPr>
        <w:t xml:space="preserve">. </w:t>
      </w:r>
    </w:p>
    <w:p w14:paraId="10F793FE" w14:textId="77777777" w:rsidR="008B6A57" w:rsidRDefault="008B6A57" w:rsidP="00C32A60">
      <w:pPr>
        <w:rPr>
          <w:rFonts w:ascii="Arial" w:hAnsi="Arial"/>
        </w:rPr>
      </w:pPr>
    </w:p>
    <w:p w14:paraId="04F542E1" w14:textId="77777777" w:rsidR="00C32A60" w:rsidRDefault="00C12138" w:rsidP="00C32A60">
      <w:pPr>
        <w:rPr>
          <w:rFonts w:ascii="Arial" w:hAnsi="Arial"/>
        </w:rPr>
      </w:pPr>
      <w:r>
        <w:rPr>
          <w:rFonts w:ascii="Arial" w:hAnsi="Arial"/>
        </w:rPr>
        <w:t>7.</w:t>
      </w:r>
      <w:r w:rsidR="00B8065F">
        <w:rPr>
          <w:rFonts w:ascii="Arial" w:hAnsi="Arial"/>
        </w:rPr>
        <w:t>10</w:t>
      </w:r>
      <w:r w:rsidR="008B6A57">
        <w:rPr>
          <w:rFonts w:ascii="Arial" w:hAnsi="Arial"/>
        </w:rPr>
        <w:tab/>
        <w:t xml:space="preserve">Owners will </w:t>
      </w:r>
      <w:r w:rsidR="00BB556C">
        <w:rPr>
          <w:rFonts w:ascii="Arial" w:hAnsi="Arial"/>
        </w:rPr>
        <w:t>be advised of</w:t>
      </w:r>
      <w:r w:rsidR="00F5023A">
        <w:rPr>
          <w:rFonts w:ascii="Arial" w:hAnsi="Arial"/>
        </w:rPr>
        <w:t xml:space="preserve"> </w:t>
      </w:r>
      <w:r>
        <w:rPr>
          <w:rFonts w:ascii="Arial" w:hAnsi="Arial"/>
        </w:rPr>
        <w:t xml:space="preserve">the mandatory and discretionary exemptions that can be applied for, </w:t>
      </w:r>
      <w:r w:rsidR="00F5023A">
        <w:rPr>
          <w:rFonts w:ascii="Arial" w:hAnsi="Arial"/>
        </w:rPr>
        <w:t xml:space="preserve">their right to appeal any decision </w:t>
      </w:r>
      <w:proofErr w:type="gramStart"/>
      <w:r w:rsidR="00F5023A">
        <w:rPr>
          <w:rFonts w:ascii="Arial" w:hAnsi="Arial"/>
        </w:rPr>
        <w:t>and also</w:t>
      </w:r>
      <w:proofErr w:type="gramEnd"/>
      <w:r w:rsidR="00F5023A">
        <w:rPr>
          <w:rFonts w:ascii="Arial" w:hAnsi="Arial"/>
        </w:rPr>
        <w:t xml:space="preserve"> </w:t>
      </w:r>
      <w:r w:rsidR="003C0506">
        <w:rPr>
          <w:rFonts w:ascii="Arial" w:hAnsi="Arial"/>
        </w:rPr>
        <w:t>of their responsibility to advise of an</w:t>
      </w:r>
      <w:r w:rsidR="00F5023A">
        <w:rPr>
          <w:rFonts w:ascii="Arial" w:hAnsi="Arial"/>
        </w:rPr>
        <w:t>y change in circumstances or of an</w:t>
      </w:r>
      <w:r w:rsidR="00B926DF">
        <w:rPr>
          <w:rFonts w:ascii="Arial" w:hAnsi="Arial"/>
        </w:rPr>
        <w:t>y</w:t>
      </w:r>
      <w:r w:rsidR="00F5023A">
        <w:rPr>
          <w:rFonts w:ascii="Arial" w:hAnsi="Arial"/>
        </w:rPr>
        <w:t xml:space="preserve"> erroneous assumption</w:t>
      </w:r>
      <w:r w:rsidR="00B926DF">
        <w:rPr>
          <w:rFonts w:ascii="Arial" w:hAnsi="Arial"/>
        </w:rPr>
        <w:t>s</w:t>
      </w:r>
      <w:r w:rsidR="00F5023A">
        <w:rPr>
          <w:rFonts w:ascii="Arial" w:hAnsi="Arial"/>
        </w:rPr>
        <w:t xml:space="preserve"> by the </w:t>
      </w:r>
      <w:r>
        <w:rPr>
          <w:rFonts w:ascii="Arial" w:hAnsi="Arial"/>
        </w:rPr>
        <w:t>c</w:t>
      </w:r>
      <w:r w:rsidR="00F5023A">
        <w:rPr>
          <w:rFonts w:ascii="Arial" w:hAnsi="Arial"/>
        </w:rPr>
        <w:t>ouncil.</w:t>
      </w:r>
    </w:p>
    <w:p w14:paraId="50136FC7" w14:textId="77777777" w:rsidR="00F74520" w:rsidRDefault="00F74520" w:rsidP="00C32A60">
      <w:pPr>
        <w:rPr>
          <w:rFonts w:ascii="Arial" w:hAnsi="Arial"/>
        </w:rPr>
      </w:pPr>
    </w:p>
    <w:p w14:paraId="14B40E6C" w14:textId="77777777" w:rsidR="00F74520" w:rsidRDefault="00F74520" w:rsidP="00F74520">
      <w:pPr>
        <w:pStyle w:val="Default"/>
      </w:pPr>
      <w:r>
        <w:t>7.1</w:t>
      </w:r>
      <w:r w:rsidR="00B8065F">
        <w:t>1</w:t>
      </w:r>
      <w:r>
        <w:tab/>
        <w:t xml:space="preserve">An application for </w:t>
      </w:r>
      <w:r w:rsidR="008440A2">
        <w:t xml:space="preserve">a mandatory or discretionary </w:t>
      </w:r>
      <w:r w:rsidR="0001746F">
        <w:t xml:space="preserve">exemption from the council tax increase </w:t>
      </w:r>
      <w:r>
        <w:t xml:space="preserve">must be made in writing by completion of an application form. </w:t>
      </w:r>
    </w:p>
    <w:p w14:paraId="5A99F2A4" w14:textId="77777777" w:rsidR="00AA392F" w:rsidRDefault="00AA392F" w:rsidP="00F74520">
      <w:pPr>
        <w:pStyle w:val="Default"/>
      </w:pPr>
    </w:p>
    <w:p w14:paraId="5EFE5A43" w14:textId="77777777" w:rsidR="00AA392F" w:rsidRDefault="00AA392F" w:rsidP="007347C3">
      <w:pPr>
        <w:pStyle w:val="Default"/>
        <w:jc w:val="both"/>
      </w:pPr>
      <w:r>
        <w:t>7.12</w:t>
      </w:r>
      <w:r>
        <w:tab/>
      </w:r>
      <w:r w:rsidRPr="00AA392F">
        <w:rPr>
          <w:bCs/>
          <w:iCs/>
          <w:szCs w:val="22"/>
        </w:rPr>
        <w:t xml:space="preserve">Exemption </w:t>
      </w:r>
      <w:r w:rsidR="00BD57BF">
        <w:rPr>
          <w:bCs/>
          <w:iCs/>
          <w:szCs w:val="22"/>
        </w:rPr>
        <w:t>from</w:t>
      </w:r>
      <w:r w:rsidRPr="00AA392F">
        <w:rPr>
          <w:bCs/>
          <w:iCs/>
          <w:szCs w:val="22"/>
        </w:rPr>
        <w:t xml:space="preserve"> the full implementation of LTE Council Tax levy would be considered for a defined housing area provided an intervention plan led by an RSL has been agreed with the Council. The Plan’s delivery must be resourced and be time limited to a reasonable period which reflects the level of intervention required. The exemption will be for 12 months initially. Intervention plans lasting longer than 12 months will require   further application(s) for additional exemption.  These further applications will be considered favourably if the interventions are making adequate progress against the agreed plan. Other owners within the defined area will also be eligible for exemption subject to an agreed intervention plan.</w:t>
      </w:r>
      <w:r w:rsidR="007347C3" w:rsidRPr="007347C3">
        <w:rPr>
          <w:bCs/>
          <w:iCs/>
          <w:szCs w:val="22"/>
        </w:rPr>
        <w:t xml:space="preserve"> For clarification, dwellings </w:t>
      </w:r>
      <w:r w:rsidR="009236E5" w:rsidRPr="009236E5">
        <w:rPr>
          <w:bCs/>
          <w:iCs/>
          <w:szCs w:val="22"/>
        </w:rPr>
        <w:t xml:space="preserve">owned by the Council or an RSL and </w:t>
      </w:r>
      <w:r w:rsidR="007347C3" w:rsidRPr="007347C3">
        <w:rPr>
          <w:bCs/>
          <w:iCs/>
          <w:szCs w:val="22"/>
          <w:lang w:val="en"/>
        </w:rPr>
        <w:t xml:space="preserve">kept unoccupied following a formal documented decision by the Council or RSL to demolish the property are likely to qualify for exemption.  Exemption from Council Tax </w:t>
      </w:r>
      <w:r w:rsidR="00BD57BF">
        <w:rPr>
          <w:bCs/>
          <w:iCs/>
          <w:szCs w:val="22"/>
          <w:lang w:val="en"/>
        </w:rPr>
        <w:t xml:space="preserve">and the LTE </w:t>
      </w:r>
      <w:r w:rsidR="00BD57BF" w:rsidRPr="00AA392F">
        <w:rPr>
          <w:bCs/>
          <w:iCs/>
          <w:szCs w:val="22"/>
        </w:rPr>
        <w:t>Council Tax</w:t>
      </w:r>
      <w:r w:rsidR="00BD57BF">
        <w:rPr>
          <w:bCs/>
          <w:iCs/>
          <w:szCs w:val="22"/>
          <w:lang w:val="en"/>
        </w:rPr>
        <w:t xml:space="preserve"> levy </w:t>
      </w:r>
      <w:r w:rsidR="007347C3" w:rsidRPr="007347C3">
        <w:rPr>
          <w:bCs/>
          <w:iCs/>
          <w:szCs w:val="22"/>
          <w:lang w:val="en"/>
        </w:rPr>
        <w:t xml:space="preserve">on this basis will be terminated for every dwelling within a block if one or more dwellings </w:t>
      </w:r>
      <w:r w:rsidR="0061664D">
        <w:rPr>
          <w:bCs/>
          <w:iCs/>
          <w:szCs w:val="22"/>
          <w:lang w:val="en"/>
        </w:rPr>
        <w:t xml:space="preserve">subject to the exemption </w:t>
      </w:r>
      <w:r w:rsidR="007347C3" w:rsidRPr="007347C3">
        <w:rPr>
          <w:bCs/>
          <w:iCs/>
          <w:szCs w:val="22"/>
          <w:lang w:val="en"/>
        </w:rPr>
        <w:t xml:space="preserve">within the same block are let to tenants for occupation </w:t>
      </w:r>
      <w:proofErr w:type="gramStart"/>
      <w:r w:rsidR="007347C3" w:rsidRPr="007347C3">
        <w:rPr>
          <w:bCs/>
          <w:iCs/>
          <w:szCs w:val="22"/>
          <w:lang w:val="en"/>
        </w:rPr>
        <w:t>subsequent to</w:t>
      </w:r>
      <w:proofErr w:type="gramEnd"/>
      <w:r w:rsidR="007347C3" w:rsidRPr="007347C3">
        <w:rPr>
          <w:bCs/>
          <w:iCs/>
          <w:szCs w:val="22"/>
          <w:lang w:val="en"/>
        </w:rPr>
        <w:t xml:space="preserve"> the exemption</w:t>
      </w:r>
      <w:r w:rsidR="00BD57BF">
        <w:rPr>
          <w:bCs/>
          <w:iCs/>
          <w:szCs w:val="22"/>
          <w:lang w:val="en"/>
        </w:rPr>
        <w:t>s</w:t>
      </w:r>
      <w:r w:rsidR="007347C3" w:rsidRPr="007347C3">
        <w:rPr>
          <w:bCs/>
          <w:iCs/>
          <w:szCs w:val="22"/>
          <w:lang w:val="en"/>
        </w:rPr>
        <w:t xml:space="preserve"> being granted and the preceding exemption period will also be reviewed.  </w:t>
      </w:r>
    </w:p>
    <w:p w14:paraId="5ED9B0A1" w14:textId="77777777" w:rsidR="00815137" w:rsidRDefault="00815137" w:rsidP="007347C3">
      <w:pPr>
        <w:jc w:val="both"/>
        <w:rPr>
          <w:rFonts w:ascii="Arial" w:hAnsi="Arial"/>
        </w:rPr>
      </w:pPr>
    </w:p>
    <w:p w14:paraId="6059E6BB" w14:textId="77777777" w:rsidR="007347C3" w:rsidRDefault="007347C3" w:rsidP="00C32A60">
      <w:pPr>
        <w:rPr>
          <w:rFonts w:ascii="Arial" w:hAnsi="Arial"/>
        </w:rPr>
      </w:pPr>
    </w:p>
    <w:p w14:paraId="73F57064" w14:textId="77777777" w:rsidR="00C12138" w:rsidRDefault="00C12138" w:rsidP="00C12138">
      <w:pPr>
        <w:rPr>
          <w:rFonts w:ascii="Arial" w:hAnsi="Arial"/>
        </w:rPr>
      </w:pPr>
      <w:r>
        <w:rPr>
          <w:rFonts w:ascii="Arial" w:hAnsi="Arial"/>
        </w:rPr>
        <w:t>7.1</w:t>
      </w:r>
      <w:r w:rsidR="00AA392F">
        <w:rPr>
          <w:rFonts w:ascii="Arial" w:hAnsi="Arial"/>
        </w:rPr>
        <w:t>3</w:t>
      </w:r>
      <w:r>
        <w:rPr>
          <w:rFonts w:ascii="Arial" w:hAnsi="Arial"/>
        </w:rPr>
        <w:tab/>
      </w:r>
      <w:r w:rsidR="00AA392F">
        <w:rPr>
          <w:rFonts w:ascii="Arial" w:hAnsi="Arial"/>
        </w:rPr>
        <w:t xml:space="preserve">The </w:t>
      </w:r>
      <w:r w:rsidR="00B8065F">
        <w:rPr>
          <w:rFonts w:ascii="Arial" w:hAnsi="Arial"/>
        </w:rPr>
        <w:t xml:space="preserve">following </w:t>
      </w:r>
      <w:r>
        <w:rPr>
          <w:rFonts w:ascii="Arial" w:hAnsi="Arial"/>
        </w:rPr>
        <w:t xml:space="preserve">discretionary exemptions </w:t>
      </w:r>
      <w:r w:rsidR="00AA392F">
        <w:rPr>
          <w:rFonts w:ascii="Arial" w:hAnsi="Arial"/>
        </w:rPr>
        <w:t xml:space="preserve">that </w:t>
      </w:r>
      <w:r>
        <w:rPr>
          <w:rFonts w:ascii="Arial" w:hAnsi="Arial"/>
        </w:rPr>
        <w:t>can be applied for under this policy are</w:t>
      </w:r>
      <w:r w:rsidR="00B8065F">
        <w:rPr>
          <w:rFonts w:ascii="Arial" w:hAnsi="Arial"/>
        </w:rPr>
        <w:t xml:space="preserve"> </w:t>
      </w:r>
      <w:r w:rsidR="00B8065F" w:rsidRPr="008F259C">
        <w:rPr>
          <w:rFonts w:ascii="Arial" w:hAnsi="Arial"/>
        </w:rPr>
        <w:t>introduced from 1</w:t>
      </w:r>
      <w:r w:rsidR="00B8065F" w:rsidRPr="008F259C">
        <w:rPr>
          <w:rFonts w:ascii="Arial" w:hAnsi="Arial"/>
          <w:vertAlign w:val="superscript"/>
        </w:rPr>
        <w:t>st</w:t>
      </w:r>
      <w:r w:rsidR="00B8065F" w:rsidRPr="008F259C">
        <w:rPr>
          <w:rFonts w:ascii="Arial" w:hAnsi="Arial"/>
        </w:rPr>
        <w:t xml:space="preserve"> April 2019</w:t>
      </w:r>
      <w:r w:rsidR="00B8065F">
        <w:rPr>
          <w:rFonts w:ascii="Arial" w:hAnsi="Arial"/>
        </w:rPr>
        <w:t xml:space="preserve">.  These are in addition to the existing discretionary exemption </w:t>
      </w:r>
      <w:r w:rsidR="008F259C">
        <w:rPr>
          <w:rFonts w:ascii="Arial" w:hAnsi="Arial"/>
        </w:rPr>
        <w:t xml:space="preserve">category </w:t>
      </w:r>
      <w:r w:rsidR="00B8065F">
        <w:rPr>
          <w:rFonts w:ascii="Arial" w:hAnsi="Arial"/>
        </w:rPr>
        <w:t>noted below</w:t>
      </w:r>
      <w:r w:rsidR="008440A2">
        <w:rPr>
          <w:rFonts w:ascii="Arial" w:hAnsi="Arial"/>
        </w:rPr>
        <w:t xml:space="preserve"> which will continue under this policy</w:t>
      </w:r>
      <w:r w:rsidR="00B8065F">
        <w:rPr>
          <w:rFonts w:ascii="Arial" w:hAnsi="Arial"/>
        </w:rPr>
        <w:t>.</w:t>
      </w:r>
    </w:p>
    <w:p w14:paraId="29E5B214" w14:textId="77777777" w:rsidR="00C12138" w:rsidRDefault="00C12138" w:rsidP="00C12138">
      <w:pPr>
        <w:rPr>
          <w:rFonts w:ascii="Arial" w:hAnsi="Arial"/>
        </w:rPr>
      </w:pPr>
    </w:p>
    <w:p w14:paraId="6BED6595" w14:textId="77777777" w:rsidR="0056211D" w:rsidRDefault="0056211D" w:rsidP="00C12138">
      <w:pPr>
        <w:rPr>
          <w:rFonts w:ascii="Arial" w:hAnsi="Arial"/>
        </w:rPr>
      </w:pPr>
    </w:p>
    <w:p w14:paraId="0D5EE770" w14:textId="77777777" w:rsidR="00B8065F" w:rsidRPr="008F259C" w:rsidRDefault="00B8065F" w:rsidP="00C12138">
      <w:pPr>
        <w:rPr>
          <w:rFonts w:ascii="Arial" w:hAnsi="Arial"/>
          <w:b/>
        </w:rPr>
      </w:pPr>
      <w:r w:rsidRPr="008F259C">
        <w:rPr>
          <w:rFonts w:ascii="Arial" w:hAnsi="Arial"/>
          <w:b/>
        </w:rPr>
        <w:t>Additional Discretionary Exemptions from 1</w:t>
      </w:r>
      <w:r w:rsidRPr="008F259C">
        <w:rPr>
          <w:rFonts w:ascii="Arial" w:hAnsi="Arial"/>
          <w:b/>
          <w:vertAlign w:val="superscript"/>
        </w:rPr>
        <w:t>st</w:t>
      </w:r>
      <w:r w:rsidRPr="008F259C">
        <w:rPr>
          <w:rFonts w:ascii="Arial" w:hAnsi="Arial"/>
          <w:b/>
        </w:rPr>
        <w:t xml:space="preserve"> April 2019</w:t>
      </w:r>
    </w:p>
    <w:p w14:paraId="0CE17328" w14:textId="77777777" w:rsidR="00C12138" w:rsidRDefault="00C12138" w:rsidP="00C12138">
      <w:pPr>
        <w:rPr>
          <w:rFonts w:ascii="Arial" w:hAnsi="Arial"/>
        </w:rPr>
      </w:pPr>
    </w:p>
    <w:tbl>
      <w:tblPr>
        <w:tblStyle w:val="TableGrid"/>
        <w:tblW w:w="0" w:type="auto"/>
        <w:tblLook w:val="04A0" w:firstRow="1" w:lastRow="0" w:firstColumn="1" w:lastColumn="0" w:noHBand="0" w:noVBand="1"/>
      </w:tblPr>
      <w:tblGrid>
        <w:gridCol w:w="3136"/>
        <w:gridCol w:w="3114"/>
        <w:gridCol w:w="3100"/>
      </w:tblGrid>
      <w:tr w:rsidR="00C12138" w14:paraId="5A411FEB" w14:textId="77777777" w:rsidTr="00C12138">
        <w:tc>
          <w:tcPr>
            <w:tcW w:w="3192" w:type="dxa"/>
          </w:tcPr>
          <w:p w14:paraId="400B733D" w14:textId="77777777" w:rsidR="00C12138" w:rsidRPr="00C12138" w:rsidRDefault="00C12138" w:rsidP="00C12138">
            <w:pPr>
              <w:rPr>
                <w:rFonts w:ascii="Arial" w:hAnsi="Arial"/>
                <w:sz w:val="22"/>
              </w:rPr>
            </w:pPr>
            <w:r w:rsidRPr="00C12138">
              <w:rPr>
                <w:rFonts w:ascii="Arial" w:hAnsi="Arial"/>
                <w:sz w:val="22"/>
              </w:rPr>
              <w:t>Discretionary Category</w:t>
            </w:r>
          </w:p>
        </w:tc>
        <w:tc>
          <w:tcPr>
            <w:tcW w:w="3192" w:type="dxa"/>
          </w:tcPr>
          <w:p w14:paraId="1250BD5C" w14:textId="77777777" w:rsidR="00C12138" w:rsidRPr="00C12138" w:rsidRDefault="00C12138" w:rsidP="00C12138">
            <w:pPr>
              <w:rPr>
                <w:rFonts w:ascii="Arial" w:hAnsi="Arial"/>
                <w:sz w:val="22"/>
              </w:rPr>
            </w:pPr>
            <w:r w:rsidRPr="00C12138">
              <w:rPr>
                <w:rFonts w:ascii="Arial" w:hAnsi="Arial"/>
                <w:sz w:val="22"/>
              </w:rPr>
              <w:t>Purpose</w:t>
            </w:r>
          </w:p>
        </w:tc>
        <w:tc>
          <w:tcPr>
            <w:tcW w:w="3192" w:type="dxa"/>
          </w:tcPr>
          <w:p w14:paraId="3E7D2FDD" w14:textId="77777777" w:rsidR="00C12138" w:rsidRDefault="00C12138" w:rsidP="00C12138">
            <w:pPr>
              <w:rPr>
                <w:rFonts w:ascii="Arial" w:hAnsi="Arial"/>
                <w:sz w:val="22"/>
              </w:rPr>
            </w:pPr>
            <w:r w:rsidRPr="00C12138">
              <w:rPr>
                <w:rFonts w:ascii="Arial" w:hAnsi="Arial"/>
                <w:sz w:val="22"/>
              </w:rPr>
              <w:t>Maximum Exemption Period</w:t>
            </w:r>
          </w:p>
          <w:p w14:paraId="63A20906" w14:textId="77777777" w:rsidR="00AA392F" w:rsidRPr="00C12138" w:rsidRDefault="00AA392F" w:rsidP="00C12138">
            <w:pPr>
              <w:rPr>
                <w:rFonts w:ascii="Arial" w:hAnsi="Arial"/>
                <w:sz w:val="22"/>
              </w:rPr>
            </w:pPr>
          </w:p>
        </w:tc>
      </w:tr>
      <w:tr w:rsidR="00C12138" w14:paraId="01F30D30" w14:textId="77777777" w:rsidTr="00C12138">
        <w:tc>
          <w:tcPr>
            <w:tcW w:w="3192" w:type="dxa"/>
          </w:tcPr>
          <w:p w14:paraId="0F725410" w14:textId="77777777" w:rsidR="00C12138" w:rsidRDefault="00E30C7E" w:rsidP="00C12138">
            <w:pPr>
              <w:rPr>
                <w:rFonts w:ascii="Arial" w:hAnsi="Arial"/>
              </w:rPr>
            </w:pPr>
            <w:r>
              <w:rPr>
                <w:rFonts w:ascii="Arial" w:hAnsi="Arial"/>
              </w:rPr>
              <w:t>New Owner or Tenant</w:t>
            </w:r>
          </w:p>
        </w:tc>
        <w:tc>
          <w:tcPr>
            <w:tcW w:w="3192" w:type="dxa"/>
          </w:tcPr>
          <w:p w14:paraId="300FAD8D" w14:textId="77777777" w:rsidR="0056211D" w:rsidRDefault="0013484D" w:rsidP="0013484D">
            <w:pPr>
              <w:rPr>
                <w:rFonts w:ascii="Arial" w:hAnsi="Arial"/>
              </w:rPr>
            </w:pPr>
            <w:r>
              <w:rPr>
                <w:rFonts w:ascii="Arial" w:hAnsi="Arial"/>
              </w:rPr>
              <w:t>The n</w:t>
            </w:r>
            <w:r w:rsidR="00E30C7E">
              <w:rPr>
                <w:rFonts w:ascii="Arial" w:hAnsi="Arial"/>
              </w:rPr>
              <w:t xml:space="preserve">ew owner or tenant of </w:t>
            </w:r>
            <w:r w:rsidR="00CF6BFD">
              <w:rPr>
                <w:rFonts w:ascii="Arial" w:hAnsi="Arial"/>
              </w:rPr>
              <w:t xml:space="preserve">a </w:t>
            </w:r>
            <w:proofErr w:type="gramStart"/>
            <w:r w:rsidR="00E30C7E">
              <w:rPr>
                <w:rFonts w:ascii="Arial" w:hAnsi="Arial"/>
              </w:rPr>
              <w:t>long term</w:t>
            </w:r>
            <w:proofErr w:type="gramEnd"/>
            <w:r w:rsidR="00E30C7E">
              <w:rPr>
                <w:rFonts w:ascii="Arial" w:hAnsi="Arial"/>
              </w:rPr>
              <w:t xml:space="preserve"> empty property requires </w:t>
            </w:r>
            <w:r w:rsidR="00CF6BFD">
              <w:rPr>
                <w:rFonts w:ascii="Arial" w:hAnsi="Arial"/>
              </w:rPr>
              <w:t xml:space="preserve">a </w:t>
            </w:r>
            <w:r w:rsidR="00E30C7E">
              <w:rPr>
                <w:rFonts w:ascii="Arial" w:hAnsi="Arial"/>
              </w:rPr>
              <w:t xml:space="preserve">short period of time to make </w:t>
            </w:r>
            <w:r w:rsidR="00CF6BFD">
              <w:rPr>
                <w:rFonts w:ascii="Arial" w:hAnsi="Arial"/>
              </w:rPr>
              <w:t xml:space="preserve">the </w:t>
            </w:r>
            <w:r w:rsidR="00E30C7E">
              <w:rPr>
                <w:rFonts w:ascii="Arial" w:hAnsi="Arial"/>
              </w:rPr>
              <w:lastRenderedPageBreak/>
              <w:t>property fit for occupation or to move in</w:t>
            </w:r>
            <w:r w:rsidR="0056211D">
              <w:rPr>
                <w:rFonts w:ascii="Arial" w:hAnsi="Arial"/>
              </w:rPr>
              <w:t>.</w:t>
            </w:r>
          </w:p>
          <w:p w14:paraId="6481B57D" w14:textId="77777777" w:rsidR="00AA392F" w:rsidRDefault="00AA392F" w:rsidP="0013484D">
            <w:pPr>
              <w:rPr>
                <w:rFonts w:ascii="Arial" w:hAnsi="Arial"/>
              </w:rPr>
            </w:pPr>
          </w:p>
          <w:p w14:paraId="5F1C703F" w14:textId="77777777" w:rsidR="00AA392F" w:rsidRDefault="00AA392F" w:rsidP="0013484D">
            <w:pPr>
              <w:rPr>
                <w:rFonts w:ascii="Arial" w:hAnsi="Arial"/>
              </w:rPr>
            </w:pPr>
          </w:p>
        </w:tc>
        <w:tc>
          <w:tcPr>
            <w:tcW w:w="3192" w:type="dxa"/>
          </w:tcPr>
          <w:p w14:paraId="610B1A0B" w14:textId="77777777" w:rsidR="00C12138" w:rsidRDefault="00E30C7E" w:rsidP="00C12138">
            <w:pPr>
              <w:rPr>
                <w:rFonts w:ascii="Arial" w:hAnsi="Arial"/>
              </w:rPr>
            </w:pPr>
            <w:r>
              <w:rPr>
                <w:rFonts w:ascii="Arial" w:hAnsi="Arial"/>
              </w:rPr>
              <w:lastRenderedPageBreak/>
              <w:t>3 Months</w:t>
            </w:r>
          </w:p>
        </w:tc>
      </w:tr>
      <w:tr w:rsidR="0001746F" w14:paraId="24BAE12D" w14:textId="77777777" w:rsidTr="00C12138">
        <w:tc>
          <w:tcPr>
            <w:tcW w:w="3192" w:type="dxa"/>
          </w:tcPr>
          <w:p w14:paraId="644DA135" w14:textId="77777777" w:rsidR="0001746F" w:rsidRDefault="0001746F" w:rsidP="00C12138">
            <w:pPr>
              <w:rPr>
                <w:rFonts w:ascii="Arial" w:hAnsi="Arial"/>
              </w:rPr>
            </w:pPr>
            <w:r>
              <w:rPr>
                <w:rFonts w:ascii="Arial" w:hAnsi="Arial"/>
              </w:rPr>
              <w:t>Owner is working with Empty Homes Officer</w:t>
            </w:r>
          </w:p>
          <w:p w14:paraId="112E65FF" w14:textId="77777777" w:rsidR="0001746F" w:rsidRDefault="0001746F" w:rsidP="00C12138">
            <w:pPr>
              <w:rPr>
                <w:rFonts w:ascii="Arial" w:hAnsi="Arial"/>
              </w:rPr>
            </w:pPr>
          </w:p>
          <w:p w14:paraId="3C0B95CB" w14:textId="77777777" w:rsidR="0001746F" w:rsidRDefault="0001746F" w:rsidP="00C12138">
            <w:pPr>
              <w:rPr>
                <w:rFonts w:ascii="Arial" w:hAnsi="Arial"/>
              </w:rPr>
            </w:pPr>
          </w:p>
        </w:tc>
        <w:tc>
          <w:tcPr>
            <w:tcW w:w="3192" w:type="dxa"/>
          </w:tcPr>
          <w:p w14:paraId="237E6264" w14:textId="77777777" w:rsidR="0001746F" w:rsidRDefault="0001746F" w:rsidP="0013484D">
            <w:pPr>
              <w:rPr>
                <w:rFonts w:ascii="Arial" w:hAnsi="Arial"/>
              </w:rPr>
            </w:pPr>
            <w:r>
              <w:rPr>
                <w:rFonts w:ascii="Arial" w:hAnsi="Arial"/>
              </w:rPr>
              <w:t>Owner has agreed with the Empty Homes Officer to take positive steps to re-occupy their property and it is the view of the Empty Homes Officer that a time-limited council tax increase “holiday” would encourage the property to be brought back into use sooner</w:t>
            </w:r>
            <w:r w:rsidR="0056211D">
              <w:rPr>
                <w:rFonts w:ascii="Arial" w:hAnsi="Arial"/>
              </w:rPr>
              <w:t>.</w:t>
            </w:r>
          </w:p>
          <w:p w14:paraId="42916168" w14:textId="77777777" w:rsidR="0056211D" w:rsidRDefault="0056211D" w:rsidP="0013484D">
            <w:pPr>
              <w:rPr>
                <w:rFonts w:ascii="Arial" w:hAnsi="Arial"/>
              </w:rPr>
            </w:pPr>
          </w:p>
        </w:tc>
        <w:tc>
          <w:tcPr>
            <w:tcW w:w="3192" w:type="dxa"/>
          </w:tcPr>
          <w:p w14:paraId="5E52ACC5" w14:textId="77777777" w:rsidR="0001746F" w:rsidRDefault="0001746F" w:rsidP="00C12138">
            <w:pPr>
              <w:rPr>
                <w:rFonts w:ascii="Arial" w:hAnsi="Arial"/>
              </w:rPr>
            </w:pPr>
            <w:r>
              <w:rPr>
                <w:rFonts w:ascii="Arial" w:hAnsi="Arial"/>
              </w:rPr>
              <w:t>6 Months</w:t>
            </w:r>
          </w:p>
        </w:tc>
      </w:tr>
      <w:tr w:rsidR="00C12138" w14:paraId="66EB9414" w14:textId="77777777" w:rsidTr="00C12138">
        <w:tc>
          <w:tcPr>
            <w:tcW w:w="3192" w:type="dxa"/>
          </w:tcPr>
          <w:p w14:paraId="305D4C7F" w14:textId="77777777" w:rsidR="00C12138" w:rsidRDefault="00E30C7E" w:rsidP="00C12138">
            <w:pPr>
              <w:rPr>
                <w:rFonts w:ascii="Arial" w:hAnsi="Arial"/>
              </w:rPr>
            </w:pPr>
            <w:r>
              <w:rPr>
                <w:rFonts w:ascii="Arial" w:hAnsi="Arial"/>
              </w:rPr>
              <w:t>Property undergoing repair/renovation</w:t>
            </w:r>
          </w:p>
        </w:tc>
        <w:tc>
          <w:tcPr>
            <w:tcW w:w="3192" w:type="dxa"/>
          </w:tcPr>
          <w:p w14:paraId="064C731D" w14:textId="77777777" w:rsidR="00C12138" w:rsidRDefault="0001746F" w:rsidP="0013484D">
            <w:pPr>
              <w:rPr>
                <w:rFonts w:ascii="Arial" w:hAnsi="Arial"/>
              </w:rPr>
            </w:pPr>
            <w:r>
              <w:rPr>
                <w:rFonts w:ascii="Arial" w:hAnsi="Arial"/>
              </w:rPr>
              <w:t>P</w:t>
            </w:r>
            <w:r w:rsidR="0013484D">
              <w:rPr>
                <w:rFonts w:ascii="Arial" w:hAnsi="Arial"/>
              </w:rPr>
              <w:t xml:space="preserve">roperty </w:t>
            </w:r>
            <w:r w:rsidR="00E30C7E">
              <w:rPr>
                <w:rFonts w:ascii="Arial" w:hAnsi="Arial"/>
              </w:rPr>
              <w:t xml:space="preserve">is undergoing major repair to make it </w:t>
            </w:r>
            <w:proofErr w:type="gramStart"/>
            <w:r w:rsidR="00E30C7E">
              <w:rPr>
                <w:rFonts w:ascii="Arial" w:hAnsi="Arial"/>
              </w:rPr>
              <w:t>habitable,</w:t>
            </w:r>
            <w:proofErr w:type="gramEnd"/>
            <w:r w:rsidR="00E30C7E">
              <w:rPr>
                <w:rFonts w:ascii="Arial" w:hAnsi="Arial"/>
              </w:rPr>
              <w:t xml:space="preserve"> the liable person can demonstrate work is progressing</w:t>
            </w:r>
          </w:p>
          <w:p w14:paraId="3DE8E43F" w14:textId="77777777" w:rsidR="00AA392F" w:rsidRDefault="00AA392F" w:rsidP="0013484D">
            <w:pPr>
              <w:rPr>
                <w:rFonts w:ascii="Arial" w:hAnsi="Arial"/>
              </w:rPr>
            </w:pPr>
          </w:p>
        </w:tc>
        <w:tc>
          <w:tcPr>
            <w:tcW w:w="3192" w:type="dxa"/>
          </w:tcPr>
          <w:p w14:paraId="2A890E05" w14:textId="77777777" w:rsidR="00C12138" w:rsidRDefault="00CF6BFD" w:rsidP="00C12138">
            <w:pPr>
              <w:rPr>
                <w:rFonts w:ascii="Arial" w:hAnsi="Arial"/>
              </w:rPr>
            </w:pPr>
            <w:r>
              <w:rPr>
                <w:rFonts w:ascii="Arial" w:hAnsi="Arial"/>
              </w:rPr>
              <w:t>12</w:t>
            </w:r>
            <w:r w:rsidR="00E30C7E">
              <w:rPr>
                <w:rFonts w:ascii="Arial" w:hAnsi="Arial"/>
              </w:rPr>
              <w:t xml:space="preserve"> Months</w:t>
            </w:r>
          </w:p>
        </w:tc>
      </w:tr>
    </w:tbl>
    <w:p w14:paraId="769CC14B" w14:textId="77777777" w:rsidR="00C12138" w:rsidRDefault="00C12138" w:rsidP="00C12138">
      <w:pPr>
        <w:rPr>
          <w:rFonts w:ascii="Arial" w:hAnsi="Arial"/>
        </w:rPr>
      </w:pPr>
    </w:p>
    <w:p w14:paraId="76B04803" w14:textId="77777777" w:rsidR="00B8065F" w:rsidRDefault="00B8065F" w:rsidP="00C12138">
      <w:pPr>
        <w:rPr>
          <w:rFonts w:ascii="Arial" w:hAnsi="Arial"/>
        </w:rPr>
      </w:pPr>
    </w:p>
    <w:p w14:paraId="63C79F56" w14:textId="77777777" w:rsidR="00B8065F" w:rsidRPr="008F259C" w:rsidRDefault="00B8065F" w:rsidP="00C12138">
      <w:pPr>
        <w:rPr>
          <w:rFonts w:ascii="Arial" w:hAnsi="Arial"/>
          <w:b/>
        </w:rPr>
      </w:pPr>
      <w:r w:rsidRPr="008F259C">
        <w:rPr>
          <w:rFonts w:ascii="Arial" w:hAnsi="Arial"/>
          <w:b/>
        </w:rPr>
        <w:t>Existing Discretionary Exemption</w:t>
      </w:r>
    </w:p>
    <w:p w14:paraId="7C389702" w14:textId="77777777" w:rsidR="00B8065F" w:rsidRDefault="00B8065F" w:rsidP="00C12138">
      <w:pPr>
        <w:rPr>
          <w:rFonts w:ascii="Arial" w:hAnsi="Arial"/>
        </w:rPr>
      </w:pPr>
    </w:p>
    <w:tbl>
      <w:tblPr>
        <w:tblStyle w:val="TableGrid"/>
        <w:tblW w:w="0" w:type="auto"/>
        <w:tblLook w:val="04A0" w:firstRow="1" w:lastRow="0" w:firstColumn="1" w:lastColumn="0" w:noHBand="0" w:noVBand="1"/>
      </w:tblPr>
      <w:tblGrid>
        <w:gridCol w:w="3130"/>
        <w:gridCol w:w="3127"/>
        <w:gridCol w:w="3093"/>
      </w:tblGrid>
      <w:tr w:rsidR="00B8065F" w14:paraId="1B1F4990" w14:textId="77777777" w:rsidTr="004C128D">
        <w:tc>
          <w:tcPr>
            <w:tcW w:w="3192" w:type="dxa"/>
          </w:tcPr>
          <w:p w14:paraId="22060FBB" w14:textId="77777777" w:rsidR="00B8065F" w:rsidRDefault="00B8065F" w:rsidP="001D47F6">
            <w:pPr>
              <w:rPr>
                <w:rFonts w:ascii="Arial" w:hAnsi="Arial"/>
              </w:rPr>
            </w:pPr>
            <w:r>
              <w:rPr>
                <w:rFonts w:ascii="Arial" w:hAnsi="Arial"/>
              </w:rPr>
              <w:t>Exceptional Circumstances</w:t>
            </w:r>
          </w:p>
          <w:p w14:paraId="5D9630E7" w14:textId="77777777" w:rsidR="00B8065F" w:rsidRDefault="00B8065F" w:rsidP="001D47F6">
            <w:pPr>
              <w:rPr>
                <w:rFonts w:ascii="Arial" w:hAnsi="Arial"/>
              </w:rPr>
            </w:pPr>
          </w:p>
          <w:p w14:paraId="65DF020E" w14:textId="77777777" w:rsidR="00B8065F" w:rsidRDefault="00B8065F" w:rsidP="001D47F6">
            <w:pPr>
              <w:rPr>
                <w:rFonts w:ascii="Arial" w:hAnsi="Arial"/>
              </w:rPr>
            </w:pPr>
          </w:p>
        </w:tc>
        <w:tc>
          <w:tcPr>
            <w:tcW w:w="3192" w:type="dxa"/>
          </w:tcPr>
          <w:p w14:paraId="375EC1C2" w14:textId="77777777" w:rsidR="00B8065F" w:rsidRDefault="00B8065F" w:rsidP="001D47F6">
            <w:pPr>
              <w:rPr>
                <w:rFonts w:ascii="Arial" w:hAnsi="Arial"/>
              </w:rPr>
            </w:pPr>
            <w:r>
              <w:rPr>
                <w:rFonts w:ascii="Arial" w:hAnsi="Arial"/>
              </w:rPr>
              <w:t>The owner considers that their property is empty due to exceptional circumstances not covered by the discretionary exemption categories</w:t>
            </w:r>
          </w:p>
        </w:tc>
        <w:tc>
          <w:tcPr>
            <w:tcW w:w="3192" w:type="dxa"/>
          </w:tcPr>
          <w:p w14:paraId="493BEDD1" w14:textId="77777777" w:rsidR="00B8065F" w:rsidRDefault="00B8065F" w:rsidP="001D47F6">
            <w:pPr>
              <w:rPr>
                <w:rFonts w:ascii="Arial" w:hAnsi="Arial"/>
              </w:rPr>
            </w:pPr>
            <w:r>
              <w:rPr>
                <w:rFonts w:ascii="Arial" w:hAnsi="Arial"/>
              </w:rPr>
              <w:t>6 Months</w:t>
            </w:r>
          </w:p>
        </w:tc>
      </w:tr>
    </w:tbl>
    <w:p w14:paraId="1A55DC9A" w14:textId="77777777" w:rsidR="00B8065F" w:rsidRDefault="00B8065F" w:rsidP="00C12138">
      <w:pPr>
        <w:rPr>
          <w:rFonts w:ascii="Arial" w:hAnsi="Arial"/>
        </w:rPr>
      </w:pPr>
    </w:p>
    <w:p w14:paraId="6AFCB7C4" w14:textId="77777777" w:rsidR="0056211D" w:rsidRDefault="0056211D" w:rsidP="00C32A60">
      <w:pPr>
        <w:rPr>
          <w:rFonts w:ascii="Arial" w:hAnsi="Arial"/>
          <w:b/>
        </w:rPr>
      </w:pPr>
    </w:p>
    <w:p w14:paraId="7C22C067" w14:textId="77777777" w:rsidR="0056211D" w:rsidRDefault="0056211D" w:rsidP="00C32A60">
      <w:pPr>
        <w:rPr>
          <w:rFonts w:ascii="Arial" w:hAnsi="Arial"/>
          <w:b/>
        </w:rPr>
      </w:pPr>
    </w:p>
    <w:p w14:paraId="5C3C2654" w14:textId="77777777" w:rsidR="00C12138" w:rsidRPr="00B8065F" w:rsidRDefault="00B8065F" w:rsidP="00C32A60">
      <w:pPr>
        <w:rPr>
          <w:rFonts w:ascii="Arial" w:hAnsi="Arial"/>
          <w:b/>
        </w:rPr>
      </w:pPr>
      <w:r>
        <w:rPr>
          <w:rFonts w:ascii="Arial" w:hAnsi="Arial"/>
          <w:b/>
        </w:rPr>
        <w:t>8.0</w:t>
      </w:r>
      <w:r>
        <w:rPr>
          <w:rFonts w:ascii="Arial" w:hAnsi="Arial"/>
          <w:b/>
        </w:rPr>
        <w:tab/>
      </w:r>
      <w:r w:rsidRPr="00B8065F">
        <w:rPr>
          <w:rFonts w:ascii="Arial" w:hAnsi="Arial"/>
          <w:b/>
        </w:rPr>
        <w:t>Second Homes</w:t>
      </w:r>
      <w:r w:rsidR="008440A2">
        <w:rPr>
          <w:rFonts w:ascii="Arial" w:hAnsi="Arial"/>
          <w:b/>
        </w:rPr>
        <w:t xml:space="preserve"> Policy</w:t>
      </w:r>
    </w:p>
    <w:p w14:paraId="0A97488C" w14:textId="77777777" w:rsidR="00B8065F" w:rsidRDefault="00B8065F" w:rsidP="00C32A60">
      <w:pPr>
        <w:rPr>
          <w:rFonts w:ascii="Arial" w:hAnsi="Arial"/>
        </w:rPr>
      </w:pPr>
    </w:p>
    <w:p w14:paraId="68C6E924" w14:textId="77777777" w:rsidR="008440A2" w:rsidRDefault="008440A2" w:rsidP="008440A2">
      <w:pPr>
        <w:rPr>
          <w:rFonts w:ascii="Arial" w:hAnsi="Arial" w:cs="Arial"/>
        </w:rPr>
      </w:pPr>
      <w:r>
        <w:rPr>
          <w:rFonts w:ascii="Arial" w:hAnsi="Arial" w:cs="Arial"/>
        </w:rPr>
        <w:t>8.1</w:t>
      </w:r>
      <w:r>
        <w:rPr>
          <w:rFonts w:ascii="Arial" w:hAnsi="Arial" w:cs="Arial"/>
        </w:rPr>
        <w:tab/>
        <w:t>Under this policy the council tax discount on second homes to be applied by Inverclyde Council is:</w:t>
      </w:r>
    </w:p>
    <w:p w14:paraId="31EAF274" w14:textId="77777777" w:rsidR="008440A2" w:rsidRDefault="008440A2" w:rsidP="008440A2">
      <w:pPr>
        <w:rPr>
          <w:rFonts w:ascii="Arial" w:hAnsi="Arial" w:cs="Arial"/>
        </w:rPr>
      </w:pPr>
    </w:p>
    <w:p w14:paraId="1D6426F5" w14:textId="77777777" w:rsidR="008440A2" w:rsidRPr="00C12138" w:rsidRDefault="008440A2" w:rsidP="008440A2">
      <w:pPr>
        <w:pStyle w:val="ListParagraph"/>
        <w:numPr>
          <w:ilvl w:val="0"/>
          <w:numId w:val="7"/>
        </w:numPr>
        <w:rPr>
          <w:rFonts w:ascii="Arial" w:hAnsi="Arial" w:cs="Arial"/>
        </w:rPr>
      </w:pPr>
      <w:r w:rsidRPr="00C12138">
        <w:rPr>
          <w:rFonts w:ascii="Arial" w:hAnsi="Arial" w:cs="Arial"/>
        </w:rPr>
        <w:t>From 1</w:t>
      </w:r>
      <w:r w:rsidRPr="00C12138">
        <w:rPr>
          <w:rFonts w:ascii="Arial" w:hAnsi="Arial" w:cs="Arial"/>
          <w:vertAlign w:val="superscript"/>
        </w:rPr>
        <w:t>st</w:t>
      </w:r>
      <w:r w:rsidRPr="00C12138">
        <w:rPr>
          <w:rFonts w:ascii="Arial" w:hAnsi="Arial" w:cs="Arial"/>
        </w:rPr>
        <w:t xml:space="preserve"> April 201</w:t>
      </w:r>
      <w:r>
        <w:rPr>
          <w:rFonts w:ascii="Arial" w:hAnsi="Arial" w:cs="Arial"/>
        </w:rPr>
        <w:t>7</w:t>
      </w:r>
      <w:r w:rsidRPr="00C12138">
        <w:rPr>
          <w:rFonts w:ascii="Arial" w:hAnsi="Arial" w:cs="Arial"/>
        </w:rPr>
        <w:t xml:space="preserve"> the </w:t>
      </w:r>
      <w:r>
        <w:rPr>
          <w:rFonts w:ascii="Arial" w:hAnsi="Arial" w:cs="Arial"/>
        </w:rPr>
        <w:t>discount</w:t>
      </w:r>
      <w:r w:rsidRPr="00C12138">
        <w:rPr>
          <w:rFonts w:ascii="Arial" w:hAnsi="Arial" w:cs="Arial"/>
        </w:rPr>
        <w:t xml:space="preserve"> is set at 0% of the annual council tax charge for the property.  </w:t>
      </w:r>
    </w:p>
    <w:p w14:paraId="26373E2D" w14:textId="77777777" w:rsidR="008440A2" w:rsidRPr="00C12138" w:rsidRDefault="008440A2" w:rsidP="008440A2">
      <w:pPr>
        <w:pStyle w:val="ListParagraph"/>
        <w:numPr>
          <w:ilvl w:val="0"/>
          <w:numId w:val="7"/>
        </w:numPr>
        <w:rPr>
          <w:rFonts w:ascii="Arial" w:hAnsi="Arial" w:cs="Arial"/>
        </w:rPr>
      </w:pPr>
      <w:r>
        <w:rPr>
          <w:rFonts w:ascii="Arial" w:hAnsi="Arial" w:cs="Arial"/>
        </w:rPr>
        <w:t>Prior to</w:t>
      </w:r>
      <w:r w:rsidRPr="00C12138">
        <w:rPr>
          <w:rFonts w:ascii="Arial" w:hAnsi="Arial" w:cs="Arial"/>
        </w:rPr>
        <w:t xml:space="preserve"> 1</w:t>
      </w:r>
      <w:r w:rsidRPr="00C12138">
        <w:rPr>
          <w:rFonts w:ascii="Arial" w:hAnsi="Arial" w:cs="Arial"/>
          <w:vertAlign w:val="superscript"/>
        </w:rPr>
        <w:t>st</w:t>
      </w:r>
      <w:r w:rsidRPr="00C12138">
        <w:rPr>
          <w:rFonts w:ascii="Arial" w:hAnsi="Arial" w:cs="Arial"/>
        </w:rPr>
        <w:t xml:space="preserve"> April 201</w:t>
      </w:r>
      <w:r>
        <w:rPr>
          <w:rFonts w:ascii="Arial" w:hAnsi="Arial" w:cs="Arial"/>
        </w:rPr>
        <w:t>7 the discount</w:t>
      </w:r>
      <w:r w:rsidR="009F7B7F">
        <w:rPr>
          <w:rFonts w:ascii="Arial" w:hAnsi="Arial" w:cs="Arial"/>
        </w:rPr>
        <w:t xml:space="preserve"> wa</w:t>
      </w:r>
      <w:r w:rsidRPr="00C12138">
        <w:rPr>
          <w:rFonts w:ascii="Arial" w:hAnsi="Arial" w:cs="Arial"/>
        </w:rPr>
        <w:t xml:space="preserve">s set at </w:t>
      </w:r>
      <w:r>
        <w:rPr>
          <w:rFonts w:ascii="Arial" w:hAnsi="Arial" w:cs="Arial"/>
        </w:rPr>
        <w:t>1</w:t>
      </w:r>
      <w:r w:rsidRPr="00C12138">
        <w:rPr>
          <w:rFonts w:ascii="Arial" w:hAnsi="Arial" w:cs="Arial"/>
        </w:rPr>
        <w:t>0% of the annual council tax charge for the property.</w:t>
      </w:r>
    </w:p>
    <w:p w14:paraId="30590E87" w14:textId="77777777" w:rsidR="00B8065F" w:rsidRDefault="00B8065F" w:rsidP="00C32A60">
      <w:pPr>
        <w:rPr>
          <w:rFonts w:ascii="Arial" w:hAnsi="Arial"/>
        </w:rPr>
      </w:pPr>
    </w:p>
    <w:p w14:paraId="638F2423" w14:textId="77777777" w:rsidR="008440A2" w:rsidRDefault="009F7B7F" w:rsidP="00C32A60">
      <w:pPr>
        <w:rPr>
          <w:rFonts w:ascii="Arial" w:hAnsi="Arial"/>
        </w:rPr>
      </w:pPr>
      <w:r>
        <w:rPr>
          <w:rFonts w:ascii="Arial" w:hAnsi="Arial"/>
        </w:rPr>
        <w:lastRenderedPageBreak/>
        <w:t>8.2</w:t>
      </w:r>
      <w:r>
        <w:rPr>
          <w:rFonts w:ascii="Arial" w:hAnsi="Arial"/>
        </w:rPr>
        <w:tab/>
      </w:r>
      <w:r w:rsidR="008440A2">
        <w:rPr>
          <w:rFonts w:ascii="Arial" w:hAnsi="Arial"/>
        </w:rPr>
        <w:t>Although the discount on second homes is set at 0% from 1</w:t>
      </w:r>
      <w:r w:rsidR="008440A2" w:rsidRPr="008440A2">
        <w:rPr>
          <w:rFonts w:ascii="Arial" w:hAnsi="Arial"/>
          <w:vertAlign w:val="superscript"/>
        </w:rPr>
        <w:t>st</w:t>
      </w:r>
      <w:r w:rsidR="008440A2">
        <w:rPr>
          <w:rFonts w:ascii="Arial" w:hAnsi="Arial"/>
        </w:rPr>
        <w:t xml:space="preserve"> April 2017, </w:t>
      </w:r>
      <w:r>
        <w:rPr>
          <w:rFonts w:ascii="Arial" w:hAnsi="Arial"/>
        </w:rPr>
        <w:t xml:space="preserve">it is in the interest of </w:t>
      </w:r>
      <w:r w:rsidR="008440A2">
        <w:rPr>
          <w:rFonts w:ascii="Arial" w:hAnsi="Arial"/>
        </w:rPr>
        <w:t xml:space="preserve">owners of second homes to apply to the council for their property to be classed as a second home </w:t>
      </w:r>
      <w:proofErr w:type="gramStart"/>
      <w:r w:rsidR="008440A2">
        <w:rPr>
          <w:rFonts w:ascii="Arial" w:hAnsi="Arial"/>
        </w:rPr>
        <w:t>in order to</w:t>
      </w:r>
      <w:proofErr w:type="gramEnd"/>
      <w:r w:rsidR="008440A2">
        <w:rPr>
          <w:rFonts w:ascii="Arial" w:hAnsi="Arial"/>
        </w:rPr>
        <w:t xml:space="preserve"> avoid the council tax increase on unoccupied properties.</w:t>
      </w:r>
    </w:p>
    <w:p w14:paraId="056A3D6B" w14:textId="77777777" w:rsidR="008440A2" w:rsidRDefault="008440A2" w:rsidP="00C32A60">
      <w:pPr>
        <w:rPr>
          <w:rFonts w:ascii="Arial" w:hAnsi="Arial"/>
        </w:rPr>
      </w:pPr>
    </w:p>
    <w:p w14:paraId="57C2D829" w14:textId="77777777" w:rsidR="009F7B7F" w:rsidRDefault="008440A2" w:rsidP="009F7B7F">
      <w:pPr>
        <w:pStyle w:val="Default"/>
      </w:pPr>
      <w:r>
        <w:t>8.</w:t>
      </w:r>
      <w:r w:rsidR="009F7B7F">
        <w:t>3</w:t>
      </w:r>
      <w:r>
        <w:tab/>
      </w:r>
      <w:r w:rsidR="009F7B7F">
        <w:t>A</w:t>
      </w:r>
      <w:r w:rsidR="009F7B7F" w:rsidRPr="00622854">
        <w:t xml:space="preserve"> second home is defined as being furnished and lived in for at least 25 days in any </w:t>
      </w:r>
      <w:proofErr w:type="gramStart"/>
      <w:r w:rsidR="009F7B7F" w:rsidRPr="00622854">
        <w:t>twelve month</w:t>
      </w:r>
      <w:proofErr w:type="gramEnd"/>
      <w:r w:rsidR="009F7B7F" w:rsidRPr="00622854">
        <w:t xml:space="preserve"> period, but not as someone’s sole or main residence. This aims to ensure that only homes which are likely to be reasonably well maintained and which the owner is likely to visit regularly (and therefore make some contribution to the local economy) can qualify as a second home. </w:t>
      </w:r>
    </w:p>
    <w:p w14:paraId="68EB6FC3" w14:textId="77777777" w:rsidR="009F7B7F" w:rsidRDefault="009F7B7F" w:rsidP="009F7B7F">
      <w:pPr>
        <w:pStyle w:val="Default"/>
      </w:pPr>
    </w:p>
    <w:p w14:paraId="2B2B87FF" w14:textId="77777777" w:rsidR="009F7B7F" w:rsidRPr="009F7B7F" w:rsidRDefault="009F7B7F" w:rsidP="009F7B7F">
      <w:pPr>
        <w:pStyle w:val="Default"/>
      </w:pPr>
      <w:r>
        <w:t>8.4</w:t>
      </w:r>
      <w:r>
        <w:tab/>
      </w:r>
      <w:r w:rsidRPr="00630E0F">
        <w:t>Under this policy properties</w:t>
      </w:r>
      <w:r w:rsidRPr="00F9244D">
        <w:t xml:space="preserve"> that are undergoing renovation or repair will not be considered as second homes</w:t>
      </w:r>
      <w:r>
        <w:t>.</w:t>
      </w:r>
    </w:p>
    <w:p w14:paraId="400D1AA7" w14:textId="77777777" w:rsidR="009F7B7F" w:rsidRDefault="009F7B7F" w:rsidP="009F7B7F">
      <w:pPr>
        <w:pStyle w:val="Default"/>
        <w:rPr>
          <w:sz w:val="23"/>
          <w:szCs w:val="23"/>
        </w:rPr>
      </w:pPr>
    </w:p>
    <w:p w14:paraId="51C44A6A" w14:textId="77777777" w:rsidR="009F7B7F" w:rsidRDefault="009F7B7F" w:rsidP="009F7B7F">
      <w:pPr>
        <w:rPr>
          <w:rFonts w:ascii="Arial" w:hAnsi="Arial" w:cs="Arial"/>
        </w:rPr>
      </w:pPr>
      <w:r>
        <w:rPr>
          <w:rFonts w:ascii="Arial" w:hAnsi="Arial" w:cs="Arial"/>
        </w:rPr>
        <w:t>8</w:t>
      </w:r>
      <w:r w:rsidRPr="00622854">
        <w:rPr>
          <w:rFonts w:ascii="Arial" w:hAnsi="Arial" w:cs="Arial"/>
        </w:rPr>
        <w:t>.</w:t>
      </w:r>
      <w:r>
        <w:rPr>
          <w:rFonts w:ascii="Arial" w:hAnsi="Arial" w:cs="Arial"/>
        </w:rPr>
        <w:t>5</w:t>
      </w:r>
      <w:r w:rsidRPr="00622854">
        <w:rPr>
          <w:rFonts w:ascii="Arial" w:hAnsi="Arial" w:cs="Arial"/>
        </w:rPr>
        <w:tab/>
        <w:t xml:space="preserve">It will be for owners to prove that their property is a genuine second home and </w:t>
      </w:r>
      <w:r>
        <w:rPr>
          <w:rFonts w:ascii="Arial" w:hAnsi="Arial" w:cs="Arial"/>
        </w:rPr>
        <w:t xml:space="preserve">they need to provide </w:t>
      </w:r>
      <w:r w:rsidRPr="00622854">
        <w:rPr>
          <w:rFonts w:ascii="Arial" w:hAnsi="Arial" w:cs="Arial"/>
        </w:rPr>
        <w:t xml:space="preserve">evidence </w:t>
      </w:r>
      <w:r>
        <w:rPr>
          <w:rFonts w:ascii="Arial" w:hAnsi="Arial" w:cs="Arial"/>
        </w:rPr>
        <w:t>to substantiate their claim</w:t>
      </w:r>
      <w:r w:rsidRPr="00622854">
        <w:rPr>
          <w:rFonts w:ascii="Arial" w:hAnsi="Arial" w:cs="Arial"/>
        </w:rPr>
        <w:t xml:space="preserve">. </w:t>
      </w:r>
      <w:r>
        <w:rPr>
          <w:rFonts w:ascii="Arial" w:hAnsi="Arial" w:cs="Arial"/>
        </w:rPr>
        <w:t>E</w:t>
      </w:r>
      <w:r w:rsidRPr="00622854">
        <w:rPr>
          <w:rFonts w:ascii="Arial" w:hAnsi="Arial" w:cs="Arial"/>
        </w:rPr>
        <w:t xml:space="preserve">vidence </w:t>
      </w:r>
      <w:r>
        <w:rPr>
          <w:rFonts w:ascii="Arial" w:hAnsi="Arial" w:cs="Arial"/>
        </w:rPr>
        <w:t xml:space="preserve">provided may be </w:t>
      </w:r>
      <w:r w:rsidRPr="00622854">
        <w:rPr>
          <w:rFonts w:ascii="Arial" w:hAnsi="Arial" w:cs="Arial"/>
        </w:rPr>
        <w:t xml:space="preserve">in the form of </w:t>
      </w:r>
      <w:r>
        <w:rPr>
          <w:rFonts w:ascii="Arial" w:hAnsi="Arial" w:cs="Arial"/>
        </w:rPr>
        <w:t xml:space="preserve">photographs of the interior of the property, </w:t>
      </w:r>
      <w:r w:rsidRPr="00622854">
        <w:rPr>
          <w:rFonts w:ascii="Arial" w:hAnsi="Arial" w:cs="Arial"/>
        </w:rPr>
        <w:t>utility bills, TV license</w:t>
      </w:r>
      <w:r>
        <w:rPr>
          <w:rFonts w:ascii="Arial" w:hAnsi="Arial" w:cs="Arial"/>
        </w:rPr>
        <w:t>, second home insurance schedule</w:t>
      </w:r>
      <w:r w:rsidRPr="00622854">
        <w:rPr>
          <w:rFonts w:ascii="Arial" w:hAnsi="Arial" w:cs="Arial"/>
        </w:rPr>
        <w:t xml:space="preserve"> and anything else deem</w:t>
      </w:r>
      <w:r>
        <w:rPr>
          <w:rFonts w:ascii="Arial" w:hAnsi="Arial" w:cs="Arial"/>
        </w:rPr>
        <w:t>ed</w:t>
      </w:r>
      <w:r w:rsidRPr="00622854">
        <w:rPr>
          <w:rFonts w:ascii="Arial" w:hAnsi="Arial" w:cs="Arial"/>
        </w:rPr>
        <w:t xml:space="preserve"> appropriate. </w:t>
      </w:r>
      <w:r>
        <w:rPr>
          <w:rFonts w:ascii="Arial" w:hAnsi="Arial" w:cs="Arial"/>
        </w:rPr>
        <w:t xml:space="preserve">In </w:t>
      </w:r>
      <w:proofErr w:type="gramStart"/>
      <w:r>
        <w:rPr>
          <w:rFonts w:ascii="Arial" w:hAnsi="Arial" w:cs="Arial"/>
        </w:rPr>
        <w:t>addition</w:t>
      </w:r>
      <w:proofErr w:type="gramEnd"/>
      <w:r>
        <w:rPr>
          <w:rFonts w:ascii="Arial" w:hAnsi="Arial" w:cs="Arial"/>
        </w:rPr>
        <w:t xml:space="preserve"> proof of travel to the property such as train or airline tickets may be requested.</w:t>
      </w:r>
    </w:p>
    <w:p w14:paraId="7267A4DD" w14:textId="77777777" w:rsidR="009F7B7F" w:rsidRDefault="009F7B7F" w:rsidP="009F7B7F">
      <w:pPr>
        <w:rPr>
          <w:rFonts w:ascii="Arial" w:hAnsi="Arial" w:cs="Arial"/>
        </w:rPr>
      </w:pPr>
    </w:p>
    <w:p w14:paraId="0D2CA2C2" w14:textId="77777777" w:rsidR="009F7B7F" w:rsidRPr="00710F73" w:rsidRDefault="009F7B7F" w:rsidP="009F7B7F">
      <w:pPr>
        <w:rPr>
          <w:rFonts w:ascii="Arial" w:hAnsi="Arial" w:cs="Arial"/>
          <w:color w:val="FF0000"/>
        </w:rPr>
      </w:pPr>
      <w:r>
        <w:rPr>
          <w:rFonts w:ascii="Arial" w:hAnsi="Arial" w:cs="Arial"/>
        </w:rPr>
        <w:t>8.6</w:t>
      </w:r>
      <w:r>
        <w:rPr>
          <w:rFonts w:ascii="Arial" w:hAnsi="Arial" w:cs="Arial"/>
        </w:rPr>
        <w:tab/>
      </w:r>
      <w:r w:rsidRPr="00622854">
        <w:rPr>
          <w:rFonts w:ascii="Arial" w:hAnsi="Arial" w:cs="Arial"/>
        </w:rPr>
        <w:t>Visiting officers may be utilised to follow up on individual properties</w:t>
      </w:r>
      <w:r>
        <w:rPr>
          <w:rFonts w:ascii="Arial" w:hAnsi="Arial" w:cs="Arial"/>
        </w:rPr>
        <w:t xml:space="preserve">. </w:t>
      </w:r>
    </w:p>
    <w:p w14:paraId="046C9252" w14:textId="77777777" w:rsidR="00815137" w:rsidRDefault="00815137" w:rsidP="00C32A60">
      <w:pPr>
        <w:rPr>
          <w:rFonts w:ascii="Arial" w:hAnsi="Arial"/>
        </w:rPr>
      </w:pPr>
    </w:p>
    <w:p w14:paraId="5435FCD9" w14:textId="77777777" w:rsidR="008F259C" w:rsidRDefault="009F7B7F" w:rsidP="009F7B7F">
      <w:pPr>
        <w:autoSpaceDE w:val="0"/>
        <w:autoSpaceDN w:val="0"/>
        <w:adjustRightInd w:val="0"/>
        <w:spacing w:after="37"/>
        <w:rPr>
          <w:rFonts w:ascii="Arial" w:eastAsiaTheme="minorHAnsi" w:hAnsi="Arial" w:cs="Arial"/>
          <w:color w:val="000000"/>
          <w:szCs w:val="23"/>
        </w:rPr>
      </w:pPr>
      <w:r>
        <w:rPr>
          <w:rFonts w:ascii="Arial" w:eastAsiaTheme="minorHAnsi" w:hAnsi="Arial" w:cs="Arial"/>
          <w:color w:val="000000"/>
          <w:szCs w:val="23"/>
        </w:rPr>
        <w:t>8.7</w:t>
      </w:r>
      <w:r>
        <w:rPr>
          <w:rFonts w:ascii="Arial" w:eastAsiaTheme="minorHAnsi" w:hAnsi="Arial" w:cs="Arial"/>
          <w:color w:val="000000"/>
          <w:szCs w:val="23"/>
        </w:rPr>
        <w:tab/>
      </w:r>
      <w:r w:rsidR="008F259C">
        <w:rPr>
          <w:rFonts w:ascii="Arial" w:hAnsi="Arial" w:cs="Arial"/>
        </w:rPr>
        <w:t>Officers will carry out checks to verify claims and any decision made is final subject to appeal.</w:t>
      </w:r>
    </w:p>
    <w:p w14:paraId="3631FF5A" w14:textId="77777777" w:rsidR="008F259C" w:rsidRDefault="008F259C" w:rsidP="009F7B7F">
      <w:pPr>
        <w:autoSpaceDE w:val="0"/>
        <w:autoSpaceDN w:val="0"/>
        <w:adjustRightInd w:val="0"/>
        <w:spacing w:after="37"/>
        <w:rPr>
          <w:rFonts w:ascii="Arial" w:eastAsiaTheme="minorHAnsi" w:hAnsi="Arial" w:cs="Arial"/>
          <w:color w:val="000000"/>
          <w:szCs w:val="23"/>
        </w:rPr>
      </w:pPr>
    </w:p>
    <w:p w14:paraId="371DF677" w14:textId="77777777" w:rsidR="009F7B7F" w:rsidRPr="009F7B7F" w:rsidRDefault="008F259C" w:rsidP="009F7B7F">
      <w:pPr>
        <w:autoSpaceDE w:val="0"/>
        <w:autoSpaceDN w:val="0"/>
        <w:adjustRightInd w:val="0"/>
        <w:spacing w:after="37"/>
        <w:rPr>
          <w:rFonts w:ascii="Arial" w:eastAsiaTheme="minorHAnsi" w:hAnsi="Arial" w:cs="Arial"/>
          <w:color w:val="000000"/>
          <w:szCs w:val="23"/>
        </w:rPr>
      </w:pPr>
      <w:r>
        <w:rPr>
          <w:rFonts w:ascii="Arial" w:eastAsiaTheme="minorHAnsi" w:hAnsi="Arial" w:cs="Arial"/>
          <w:color w:val="000000"/>
          <w:szCs w:val="23"/>
        </w:rPr>
        <w:t>8.8</w:t>
      </w:r>
      <w:r>
        <w:rPr>
          <w:rFonts w:ascii="Arial" w:eastAsiaTheme="minorHAnsi" w:hAnsi="Arial" w:cs="Arial"/>
          <w:color w:val="000000"/>
          <w:szCs w:val="23"/>
        </w:rPr>
        <w:tab/>
      </w:r>
      <w:r w:rsidR="00AF321F">
        <w:rPr>
          <w:rFonts w:ascii="Arial" w:eastAsiaTheme="minorHAnsi" w:hAnsi="Arial" w:cs="Arial"/>
          <w:color w:val="000000"/>
          <w:szCs w:val="23"/>
        </w:rPr>
        <w:t>If the owner of a</w:t>
      </w:r>
      <w:r w:rsidR="009F7B7F" w:rsidRPr="009F7B7F">
        <w:rPr>
          <w:rFonts w:ascii="Arial" w:eastAsiaTheme="minorHAnsi" w:hAnsi="Arial" w:cs="Arial"/>
          <w:color w:val="000000"/>
          <w:szCs w:val="23"/>
        </w:rPr>
        <w:t xml:space="preserve"> long-term second home was unable to meet the </w:t>
      </w:r>
      <w:proofErr w:type="gramStart"/>
      <w:r w:rsidR="009F7B7F" w:rsidRPr="009F7B7F">
        <w:rPr>
          <w:rFonts w:ascii="Arial" w:eastAsiaTheme="minorHAnsi" w:hAnsi="Arial" w:cs="Arial"/>
          <w:color w:val="000000"/>
          <w:szCs w:val="23"/>
        </w:rPr>
        <w:t>25 day</w:t>
      </w:r>
      <w:proofErr w:type="gramEnd"/>
      <w:r w:rsidR="009F7B7F" w:rsidRPr="009F7B7F">
        <w:rPr>
          <w:rFonts w:ascii="Arial" w:eastAsiaTheme="minorHAnsi" w:hAnsi="Arial" w:cs="Arial"/>
          <w:color w:val="000000"/>
          <w:szCs w:val="23"/>
        </w:rPr>
        <w:t xml:space="preserve"> occupancy criteria in the previous 12 months due to personal circumstances but a history of 25 day occupancy can be shown in previous years</w:t>
      </w:r>
      <w:r w:rsidR="00AF321F">
        <w:rPr>
          <w:rFonts w:ascii="Arial" w:eastAsiaTheme="minorHAnsi" w:hAnsi="Arial" w:cs="Arial"/>
          <w:color w:val="000000"/>
          <w:szCs w:val="23"/>
        </w:rPr>
        <w:t>, the property can continue to be classed as a second home for a further 12 months.</w:t>
      </w:r>
    </w:p>
    <w:p w14:paraId="1384F3BF" w14:textId="77777777" w:rsidR="000745C2" w:rsidRDefault="000745C2" w:rsidP="00EB1B43">
      <w:pPr>
        <w:rPr>
          <w:rFonts w:ascii="Arial" w:hAnsi="Arial" w:cs="Arial"/>
        </w:rPr>
      </w:pPr>
    </w:p>
    <w:p w14:paraId="6E87A8EC" w14:textId="77777777" w:rsidR="000745C2" w:rsidRDefault="000745C2" w:rsidP="00EB1B43">
      <w:pPr>
        <w:rPr>
          <w:rFonts w:ascii="Arial" w:hAnsi="Arial" w:cs="Arial"/>
        </w:rPr>
      </w:pPr>
      <w:r>
        <w:rPr>
          <w:rFonts w:ascii="Arial" w:hAnsi="Arial" w:cs="Arial"/>
        </w:rPr>
        <w:t>8.</w:t>
      </w:r>
      <w:r w:rsidR="008F259C">
        <w:rPr>
          <w:rFonts w:ascii="Arial" w:hAnsi="Arial" w:cs="Arial"/>
        </w:rPr>
        <w:t>9</w:t>
      </w:r>
      <w:r>
        <w:rPr>
          <w:rFonts w:ascii="Arial" w:hAnsi="Arial" w:cs="Arial"/>
        </w:rPr>
        <w:tab/>
      </w:r>
      <w:r w:rsidR="00AF321F">
        <w:rPr>
          <w:rFonts w:ascii="Arial" w:hAnsi="Arial" w:cs="Arial"/>
        </w:rPr>
        <w:t>A newly purchased property that is</w:t>
      </w:r>
      <w:r>
        <w:rPr>
          <w:rFonts w:ascii="Arial" w:hAnsi="Arial" w:cs="Arial"/>
        </w:rPr>
        <w:t xml:space="preserve"> </w:t>
      </w:r>
      <w:r w:rsidR="00330B5E">
        <w:rPr>
          <w:rFonts w:ascii="Arial" w:hAnsi="Arial" w:cs="Arial"/>
        </w:rPr>
        <w:t xml:space="preserve">intended to be </w:t>
      </w:r>
      <w:r w:rsidR="00AF321F">
        <w:rPr>
          <w:rFonts w:ascii="Arial" w:hAnsi="Arial" w:cs="Arial"/>
        </w:rPr>
        <w:t xml:space="preserve">occupied </w:t>
      </w:r>
      <w:r>
        <w:rPr>
          <w:rFonts w:ascii="Arial" w:hAnsi="Arial" w:cs="Arial"/>
        </w:rPr>
        <w:t xml:space="preserve">as </w:t>
      </w:r>
      <w:r w:rsidR="00AF321F">
        <w:rPr>
          <w:rFonts w:ascii="Arial" w:hAnsi="Arial" w:cs="Arial"/>
        </w:rPr>
        <w:t xml:space="preserve">a </w:t>
      </w:r>
      <w:r>
        <w:rPr>
          <w:rFonts w:ascii="Arial" w:hAnsi="Arial" w:cs="Arial"/>
        </w:rPr>
        <w:t>second home</w:t>
      </w:r>
      <w:r w:rsidR="00AF321F">
        <w:rPr>
          <w:rFonts w:ascii="Arial" w:hAnsi="Arial" w:cs="Arial"/>
        </w:rPr>
        <w:t xml:space="preserve"> </w:t>
      </w:r>
      <w:r w:rsidR="00330B5E">
        <w:rPr>
          <w:rFonts w:ascii="Arial" w:hAnsi="Arial" w:cs="Arial"/>
        </w:rPr>
        <w:t xml:space="preserve">will not be classed as a second home until it has been occupied for 25 days in a </w:t>
      </w:r>
      <w:r w:rsidR="008F259C">
        <w:rPr>
          <w:rFonts w:ascii="Arial" w:hAnsi="Arial" w:cs="Arial"/>
        </w:rPr>
        <w:t xml:space="preserve">rolling </w:t>
      </w:r>
      <w:proofErr w:type="gramStart"/>
      <w:r w:rsidR="00330B5E">
        <w:rPr>
          <w:rFonts w:ascii="Arial" w:hAnsi="Arial" w:cs="Arial"/>
        </w:rPr>
        <w:t>12 month</w:t>
      </w:r>
      <w:proofErr w:type="gramEnd"/>
      <w:r w:rsidR="00330B5E">
        <w:rPr>
          <w:rFonts w:ascii="Arial" w:hAnsi="Arial" w:cs="Arial"/>
        </w:rPr>
        <w:t xml:space="preserve"> period.</w:t>
      </w:r>
      <w:r w:rsidR="00AF321F">
        <w:rPr>
          <w:rFonts w:ascii="Arial" w:hAnsi="Arial" w:cs="Arial"/>
        </w:rPr>
        <w:t xml:space="preserve"> </w:t>
      </w:r>
    </w:p>
    <w:p w14:paraId="65684AF6" w14:textId="77777777" w:rsidR="00330B5E" w:rsidRDefault="00330B5E" w:rsidP="00EB1B43">
      <w:pPr>
        <w:rPr>
          <w:rFonts w:ascii="Arial" w:hAnsi="Arial" w:cs="Arial"/>
        </w:rPr>
      </w:pPr>
    </w:p>
    <w:p w14:paraId="6D10A87D" w14:textId="77777777" w:rsidR="00330B5E" w:rsidRPr="00710F73" w:rsidRDefault="008F259C" w:rsidP="00EB1B43">
      <w:pPr>
        <w:rPr>
          <w:rFonts w:ascii="Arial" w:hAnsi="Arial" w:cs="Arial"/>
          <w:color w:val="FF0000"/>
        </w:rPr>
      </w:pPr>
      <w:r>
        <w:rPr>
          <w:rFonts w:ascii="Arial" w:hAnsi="Arial" w:cs="Arial"/>
        </w:rPr>
        <w:t>8.10</w:t>
      </w:r>
      <w:r w:rsidR="00330B5E">
        <w:rPr>
          <w:rFonts w:ascii="Arial" w:hAnsi="Arial" w:cs="Arial"/>
        </w:rPr>
        <w:tab/>
        <w:t xml:space="preserve">Second Homes will be reviewed annually to ensure they continue to meet the 25 days occupancy per rolling </w:t>
      </w:r>
      <w:proofErr w:type="gramStart"/>
      <w:r w:rsidR="00330B5E">
        <w:rPr>
          <w:rFonts w:ascii="Arial" w:hAnsi="Arial" w:cs="Arial"/>
        </w:rPr>
        <w:t>12 month</w:t>
      </w:r>
      <w:proofErr w:type="gramEnd"/>
      <w:r w:rsidR="00330B5E">
        <w:rPr>
          <w:rFonts w:ascii="Arial" w:hAnsi="Arial" w:cs="Arial"/>
        </w:rPr>
        <w:t xml:space="preserve"> period.</w:t>
      </w:r>
    </w:p>
    <w:p w14:paraId="331CBD8B" w14:textId="77777777" w:rsidR="00EB1B43" w:rsidRDefault="00EB1B43" w:rsidP="00C32A60">
      <w:pPr>
        <w:rPr>
          <w:rFonts w:ascii="Arial" w:hAnsi="Arial"/>
          <w:b/>
        </w:rPr>
      </w:pPr>
    </w:p>
    <w:p w14:paraId="70A05A54" w14:textId="77777777" w:rsidR="00EB1B43" w:rsidRDefault="00EB1B43" w:rsidP="00C32A60">
      <w:pPr>
        <w:rPr>
          <w:rFonts w:ascii="Arial" w:hAnsi="Arial"/>
          <w:b/>
        </w:rPr>
      </w:pPr>
    </w:p>
    <w:p w14:paraId="52B64ABD" w14:textId="77777777" w:rsidR="00C32A60" w:rsidRDefault="00B8065F" w:rsidP="00C32A60">
      <w:pPr>
        <w:rPr>
          <w:rFonts w:ascii="Arial" w:hAnsi="Arial"/>
          <w:b/>
        </w:rPr>
      </w:pPr>
      <w:r>
        <w:rPr>
          <w:rFonts w:ascii="Arial" w:hAnsi="Arial"/>
          <w:b/>
        </w:rPr>
        <w:t>9</w:t>
      </w:r>
      <w:r w:rsidR="00DA579E">
        <w:rPr>
          <w:rFonts w:ascii="Arial" w:hAnsi="Arial"/>
          <w:b/>
        </w:rPr>
        <w:t>.</w:t>
      </w:r>
      <w:r w:rsidR="007C22B3" w:rsidRPr="007C22B3">
        <w:rPr>
          <w:rFonts w:ascii="Arial" w:hAnsi="Arial"/>
          <w:b/>
        </w:rPr>
        <w:t>0</w:t>
      </w:r>
      <w:r w:rsidR="007C22B3" w:rsidRPr="007C22B3">
        <w:rPr>
          <w:rFonts w:ascii="Arial" w:hAnsi="Arial"/>
          <w:b/>
        </w:rPr>
        <w:tab/>
        <w:t>Appeals</w:t>
      </w:r>
    </w:p>
    <w:p w14:paraId="365E292D" w14:textId="77777777" w:rsidR="007C22B3" w:rsidRDefault="007C22B3" w:rsidP="00C32A60">
      <w:pPr>
        <w:rPr>
          <w:rFonts w:ascii="Arial" w:hAnsi="Arial"/>
          <w:b/>
        </w:rPr>
      </w:pPr>
    </w:p>
    <w:p w14:paraId="555E6821" w14:textId="77777777" w:rsidR="005562B0" w:rsidRPr="00DA579E" w:rsidRDefault="008F259C" w:rsidP="005562B0">
      <w:pPr>
        <w:rPr>
          <w:rFonts w:ascii="Arial" w:eastAsiaTheme="minorHAnsi" w:hAnsi="Arial" w:cs="Arial"/>
        </w:rPr>
      </w:pPr>
      <w:r>
        <w:rPr>
          <w:rFonts w:ascii="Arial" w:eastAsiaTheme="minorHAnsi" w:hAnsi="Arial" w:cs="Arial"/>
        </w:rPr>
        <w:t>9</w:t>
      </w:r>
      <w:r w:rsidR="00BB556C">
        <w:rPr>
          <w:rFonts w:ascii="Arial" w:eastAsiaTheme="minorHAnsi" w:hAnsi="Arial" w:cs="Arial"/>
        </w:rPr>
        <w:t>.1</w:t>
      </w:r>
      <w:r w:rsidR="00BB556C">
        <w:rPr>
          <w:rFonts w:ascii="Arial" w:eastAsiaTheme="minorHAnsi" w:hAnsi="Arial" w:cs="Arial"/>
        </w:rPr>
        <w:tab/>
      </w:r>
      <w:r w:rsidR="0001746F">
        <w:rPr>
          <w:rFonts w:ascii="Arial" w:eastAsiaTheme="minorHAnsi" w:hAnsi="Arial" w:cs="Arial"/>
        </w:rPr>
        <w:t>Appeals can be made in writing to t</w:t>
      </w:r>
      <w:r w:rsidR="005562B0" w:rsidRPr="00DA579E">
        <w:rPr>
          <w:rFonts w:ascii="Arial" w:hAnsi="Arial" w:cs="Arial"/>
        </w:rPr>
        <w:t>he Revenue</w:t>
      </w:r>
      <w:r w:rsidR="0001746F">
        <w:rPr>
          <w:rFonts w:ascii="Arial" w:hAnsi="Arial" w:cs="Arial"/>
        </w:rPr>
        <w:t xml:space="preserve">s and </w:t>
      </w:r>
      <w:r w:rsidR="002A5BFE">
        <w:rPr>
          <w:rFonts w:ascii="Arial" w:hAnsi="Arial" w:cs="Arial"/>
        </w:rPr>
        <w:t>Benefits</w:t>
      </w:r>
      <w:r w:rsidR="0001746F">
        <w:rPr>
          <w:rFonts w:ascii="Arial" w:hAnsi="Arial" w:cs="Arial"/>
        </w:rPr>
        <w:t xml:space="preserve"> </w:t>
      </w:r>
      <w:r w:rsidR="005A0BD7">
        <w:rPr>
          <w:rFonts w:ascii="Arial" w:hAnsi="Arial" w:cs="Arial"/>
        </w:rPr>
        <w:t>Manager;</w:t>
      </w:r>
      <w:r w:rsidR="0001746F">
        <w:rPr>
          <w:rFonts w:ascii="Arial" w:hAnsi="Arial" w:cs="Arial"/>
        </w:rPr>
        <w:t xml:space="preserve"> the appellant will be notified of the outcome of their appeal within 2 months.</w:t>
      </w:r>
    </w:p>
    <w:p w14:paraId="21CDB074" w14:textId="77777777" w:rsidR="005562B0" w:rsidRDefault="005562B0" w:rsidP="007C22B3"/>
    <w:p w14:paraId="6AF70C48" w14:textId="77777777" w:rsidR="007C22B3" w:rsidRPr="00DA579E" w:rsidRDefault="008F259C" w:rsidP="00C32A60">
      <w:r>
        <w:rPr>
          <w:rFonts w:ascii="Arial" w:hAnsi="Arial" w:cs="Arial"/>
        </w:rPr>
        <w:lastRenderedPageBreak/>
        <w:t>9</w:t>
      </w:r>
      <w:r w:rsidR="005562B0" w:rsidRPr="00DA579E">
        <w:rPr>
          <w:rFonts w:ascii="Arial" w:hAnsi="Arial" w:cs="Arial"/>
        </w:rPr>
        <w:t>.</w:t>
      </w:r>
      <w:r w:rsidR="00C12138">
        <w:rPr>
          <w:rFonts w:ascii="Arial" w:hAnsi="Arial" w:cs="Arial"/>
        </w:rPr>
        <w:t>2</w:t>
      </w:r>
      <w:r w:rsidR="005562B0">
        <w:tab/>
      </w:r>
      <w:r w:rsidR="005562B0" w:rsidRPr="00DA579E">
        <w:rPr>
          <w:rFonts w:ascii="Arial" w:hAnsi="Arial" w:cs="Arial"/>
        </w:rPr>
        <w:t xml:space="preserve">If, following the appeal to the Revenues and </w:t>
      </w:r>
      <w:r w:rsidR="002A5BFE">
        <w:rPr>
          <w:rFonts w:ascii="Arial" w:hAnsi="Arial" w:cs="Arial"/>
        </w:rPr>
        <w:t>Benefits</w:t>
      </w:r>
      <w:r w:rsidR="005562B0" w:rsidRPr="00DA579E">
        <w:rPr>
          <w:rFonts w:ascii="Arial" w:hAnsi="Arial" w:cs="Arial"/>
        </w:rPr>
        <w:t xml:space="preserve"> Manager</w:t>
      </w:r>
      <w:r w:rsidR="00DA579E" w:rsidRPr="00DA579E">
        <w:rPr>
          <w:rFonts w:ascii="Arial" w:hAnsi="Arial" w:cs="Arial"/>
        </w:rPr>
        <w:t xml:space="preserve">, </w:t>
      </w:r>
      <w:r w:rsidR="005562B0" w:rsidRPr="00DA579E">
        <w:rPr>
          <w:rFonts w:ascii="Arial" w:hAnsi="Arial" w:cs="Arial"/>
        </w:rPr>
        <w:t xml:space="preserve">the customer remains dissatisfied </w:t>
      </w:r>
      <w:r w:rsidR="00DA579E" w:rsidRPr="00DA579E">
        <w:rPr>
          <w:rFonts w:ascii="Arial" w:hAnsi="Arial" w:cs="Arial"/>
        </w:rPr>
        <w:t>with the decision they have a further right of appeal to the Valuation Appeal Committee.  Any appeals to the Valuation Appeal Committee must be within four months of the date of their original appeal.</w:t>
      </w:r>
    </w:p>
    <w:p w14:paraId="229F2490" w14:textId="77777777" w:rsidR="00851546" w:rsidRPr="00AA392F" w:rsidRDefault="00851546">
      <w:pPr>
        <w:rPr>
          <w:rFonts w:ascii="Arial" w:hAnsi="Arial" w:cs="Arial"/>
          <w:bCs/>
        </w:rPr>
      </w:pPr>
    </w:p>
    <w:sectPr w:rsidR="00851546" w:rsidRPr="00AA392F" w:rsidSect="00115D15">
      <w:headerReference w:type="even" r:id="rId8"/>
      <w:headerReference w:type="default" r:id="rId9"/>
      <w:foot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4065" w14:textId="77777777" w:rsidR="00EB0EF8" w:rsidRDefault="00EB0EF8">
      <w:r>
        <w:separator/>
      </w:r>
    </w:p>
  </w:endnote>
  <w:endnote w:type="continuationSeparator" w:id="0">
    <w:p w14:paraId="51D04176" w14:textId="77777777" w:rsidR="00EB0EF8" w:rsidRDefault="00EB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865B" w14:textId="77777777" w:rsidR="00000000" w:rsidRDefault="00110C8C">
    <w:pPr>
      <w:pStyle w:val="Footer"/>
      <w:jc w:val="center"/>
    </w:pPr>
    <w:r>
      <w:fldChar w:fldCharType="begin"/>
    </w:r>
    <w:r>
      <w:instrText xml:space="preserve"> PAGE   \* MERGEFORMAT </w:instrText>
    </w:r>
    <w:r>
      <w:fldChar w:fldCharType="separate"/>
    </w:r>
    <w:r w:rsidR="0060696B">
      <w:rPr>
        <w:noProof/>
      </w:rPr>
      <w:t>2</w:t>
    </w:r>
    <w:r>
      <w:rPr>
        <w:noProof/>
      </w:rPr>
      <w:fldChar w:fldCharType="end"/>
    </w:r>
  </w:p>
  <w:p w14:paraId="5016528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61DA" w14:textId="77777777" w:rsidR="00EB0EF8" w:rsidRDefault="00EB0EF8">
      <w:r>
        <w:separator/>
      </w:r>
    </w:p>
  </w:footnote>
  <w:footnote w:type="continuationSeparator" w:id="0">
    <w:p w14:paraId="0C94A738" w14:textId="77777777" w:rsidR="00EB0EF8" w:rsidRDefault="00EB0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4A51" w14:textId="546DCEA1" w:rsidR="00357AC5" w:rsidRDefault="00357AC5">
    <w:pPr>
      <w:pStyle w:val="Header"/>
    </w:pPr>
    <w:r>
      <w:rPr>
        <w:noProof/>
      </w:rPr>
      <mc:AlternateContent>
        <mc:Choice Requires="wps">
          <w:drawing>
            <wp:anchor distT="0" distB="0" distL="0" distR="0" simplePos="0" relativeHeight="251659264" behindDoc="0" locked="0" layoutInCell="1" allowOverlap="1" wp14:anchorId="139CE47C" wp14:editId="77D149CE">
              <wp:simplePos x="635" y="635"/>
              <wp:positionH relativeFrom="page">
                <wp:align>left</wp:align>
              </wp:positionH>
              <wp:positionV relativeFrom="page">
                <wp:align>top</wp:align>
              </wp:positionV>
              <wp:extent cx="443865" cy="443865"/>
              <wp:effectExtent l="0" t="0" r="7620" b="4445"/>
              <wp:wrapNone/>
              <wp:docPr id="2118241841"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B33C9" w14:textId="46AE7D9C" w:rsidR="00357AC5" w:rsidRPr="00357AC5" w:rsidRDefault="00357AC5" w:rsidP="00357AC5">
                          <w:pPr>
                            <w:rPr>
                              <w:rFonts w:ascii="Calibri" w:eastAsia="Calibri" w:hAnsi="Calibri" w:cs="Calibri"/>
                              <w:noProof/>
                              <w:color w:val="000000"/>
                            </w:rPr>
                          </w:pPr>
                          <w:r w:rsidRPr="00357AC5">
                            <w:rPr>
                              <w:rFonts w:ascii="Calibri" w:eastAsia="Calibri" w:hAnsi="Calibri" w:cs="Calibri"/>
                              <w:noProof/>
                              <w:color w:val="000000"/>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9CE47C"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76B33C9" w14:textId="46AE7D9C" w:rsidR="00357AC5" w:rsidRPr="00357AC5" w:rsidRDefault="00357AC5" w:rsidP="00357AC5">
                    <w:pPr>
                      <w:rPr>
                        <w:rFonts w:ascii="Calibri" w:eastAsia="Calibri" w:hAnsi="Calibri" w:cs="Calibri"/>
                        <w:noProof/>
                        <w:color w:val="000000"/>
                      </w:rPr>
                    </w:pPr>
                    <w:r w:rsidRPr="00357AC5">
                      <w:rPr>
                        <w:rFonts w:ascii="Calibri" w:eastAsia="Calibri" w:hAnsi="Calibri" w:cs="Calibri"/>
                        <w:noProof/>
                        <w:color w:val="000000"/>
                      </w:rPr>
                      <w:t>Classification - 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3DC5" w14:textId="67858E96" w:rsidR="00000000" w:rsidRPr="00942E86" w:rsidRDefault="00357AC5" w:rsidP="00CB65F2">
    <w:pPr>
      <w:pStyle w:val="Header"/>
      <w:jc w:val="center"/>
      <w:rPr>
        <w:rFonts w:ascii="Arial" w:hAnsi="Arial" w:cs="Arial"/>
        <w:b/>
        <w:sz w:val="28"/>
        <w:szCs w:val="28"/>
      </w:rPr>
    </w:pPr>
    <w:r>
      <w:rPr>
        <w:rFonts w:ascii="Arial" w:hAnsi="Arial" w:cs="Arial"/>
        <w:b/>
        <w:noProof/>
        <w:sz w:val="28"/>
        <w:szCs w:val="28"/>
      </w:rPr>
      <mc:AlternateContent>
        <mc:Choice Requires="wps">
          <w:drawing>
            <wp:anchor distT="0" distB="0" distL="0" distR="0" simplePos="0" relativeHeight="251660288" behindDoc="0" locked="0" layoutInCell="1" allowOverlap="1" wp14:anchorId="09BBF2A7" wp14:editId="33095042">
              <wp:simplePos x="914400" y="447675"/>
              <wp:positionH relativeFrom="page">
                <wp:align>left</wp:align>
              </wp:positionH>
              <wp:positionV relativeFrom="page">
                <wp:align>top</wp:align>
              </wp:positionV>
              <wp:extent cx="443865" cy="443865"/>
              <wp:effectExtent l="0" t="0" r="7620" b="4445"/>
              <wp:wrapNone/>
              <wp:docPr id="368699897"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0FDC4" w14:textId="7AE4330C" w:rsidR="00357AC5" w:rsidRPr="00357AC5" w:rsidRDefault="00357AC5" w:rsidP="00357AC5">
                          <w:pPr>
                            <w:rPr>
                              <w:rFonts w:ascii="Calibri" w:eastAsia="Calibri" w:hAnsi="Calibri" w:cs="Calibri"/>
                              <w:noProof/>
                              <w:color w:val="000000"/>
                            </w:rPr>
                          </w:pPr>
                          <w:r w:rsidRPr="00357AC5">
                            <w:rPr>
                              <w:rFonts w:ascii="Calibri" w:eastAsia="Calibri" w:hAnsi="Calibri" w:cs="Calibri"/>
                              <w:noProof/>
                              <w:color w:val="000000"/>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BBF2A7" id="_x0000_t202" coordsize="21600,21600" o:spt="202" path="m,l,21600r21600,l21600,xe">
              <v:stroke joinstyle="miter"/>
              <v:path gradientshapeok="t" o:connecttype="rect"/>
            </v:shapetype>
            <v:shape id="Text Box 3" o:spid="_x0000_s1027" type="#_x0000_t202" alt="&quot;&quot;"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6410FDC4" w14:textId="7AE4330C" w:rsidR="00357AC5" w:rsidRPr="00357AC5" w:rsidRDefault="00357AC5" w:rsidP="00357AC5">
                    <w:pPr>
                      <w:rPr>
                        <w:rFonts w:ascii="Calibri" w:eastAsia="Calibri" w:hAnsi="Calibri" w:cs="Calibri"/>
                        <w:noProof/>
                        <w:color w:val="000000"/>
                      </w:rPr>
                    </w:pPr>
                    <w:r w:rsidRPr="00357AC5">
                      <w:rPr>
                        <w:rFonts w:ascii="Calibri" w:eastAsia="Calibri" w:hAnsi="Calibri" w:cs="Calibri"/>
                        <w:noProof/>
                        <w:color w:val="000000"/>
                      </w:rPr>
                      <w:t>Classification - Official -  Sensitive</w:t>
                    </w:r>
                  </w:p>
                </w:txbxContent>
              </v:textbox>
              <w10:wrap anchorx="page" anchory="page"/>
            </v:shape>
          </w:pict>
        </mc:Fallback>
      </mc:AlternateContent>
    </w:r>
    <w:r w:rsidR="00110C8C">
      <w:rPr>
        <w:rFonts w:ascii="Arial" w:hAnsi="Arial" w:cs="Arial"/>
        <w:b/>
        <w:sz w:val="28"/>
        <w:szCs w:val="28"/>
      </w:rPr>
      <w:t xml:space="preserve">Inverclyde Council - Finance </w:t>
    </w:r>
  </w:p>
  <w:p w14:paraId="29976F62" w14:textId="77777777" w:rsidR="00000000" w:rsidRPr="00942E86" w:rsidRDefault="00110C8C" w:rsidP="00CB65F2">
    <w:pPr>
      <w:pStyle w:val="Header"/>
      <w:jc w:val="center"/>
      <w:rPr>
        <w:rFonts w:ascii="Arial" w:hAnsi="Arial" w:cs="Arial"/>
        <w:b/>
        <w:sz w:val="28"/>
        <w:szCs w:val="28"/>
      </w:rPr>
    </w:pPr>
    <w:r>
      <w:rPr>
        <w:rFonts w:ascii="Arial" w:hAnsi="Arial" w:cs="Arial"/>
        <w:b/>
        <w:sz w:val="28"/>
        <w:szCs w:val="28"/>
      </w:rPr>
      <w:t xml:space="preserve">Revenues and </w:t>
    </w:r>
    <w:r w:rsidR="002A5BFE">
      <w:rPr>
        <w:rFonts w:ascii="Arial" w:hAnsi="Arial" w:cs="Arial"/>
        <w:b/>
        <w:sz w:val="28"/>
        <w:szCs w:val="28"/>
      </w:rPr>
      <w:t>Benefits</w:t>
    </w:r>
  </w:p>
  <w:p w14:paraId="3198BAA6" w14:textId="77777777" w:rsidR="00000000" w:rsidRPr="004C79CB" w:rsidRDefault="00000000" w:rsidP="00CB65F2">
    <w:pPr>
      <w:pStyle w:val="Header"/>
    </w:pPr>
  </w:p>
  <w:p w14:paraId="4B3D470C"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5D00" w14:textId="0EC70D45" w:rsidR="00357AC5" w:rsidRDefault="00357AC5">
    <w:pPr>
      <w:pStyle w:val="Header"/>
    </w:pPr>
    <w:r>
      <w:rPr>
        <w:noProof/>
      </w:rPr>
      <mc:AlternateContent>
        <mc:Choice Requires="wps">
          <w:drawing>
            <wp:anchor distT="0" distB="0" distL="0" distR="0" simplePos="0" relativeHeight="251658240" behindDoc="0" locked="0" layoutInCell="1" allowOverlap="1" wp14:anchorId="0554B7EF" wp14:editId="0758C787">
              <wp:simplePos x="635" y="635"/>
              <wp:positionH relativeFrom="page">
                <wp:align>left</wp:align>
              </wp:positionH>
              <wp:positionV relativeFrom="page">
                <wp:align>top</wp:align>
              </wp:positionV>
              <wp:extent cx="443865" cy="443865"/>
              <wp:effectExtent l="0" t="0" r="7620" b="4445"/>
              <wp:wrapNone/>
              <wp:docPr id="1914350906"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F615E3" w14:textId="50B27A0F" w:rsidR="00357AC5" w:rsidRPr="00357AC5" w:rsidRDefault="00357AC5" w:rsidP="00357AC5">
                          <w:pPr>
                            <w:rPr>
                              <w:rFonts w:ascii="Calibri" w:eastAsia="Calibri" w:hAnsi="Calibri" w:cs="Calibri"/>
                              <w:noProof/>
                              <w:color w:val="000000"/>
                            </w:rPr>
                          </w:pPr>
                          <w:r w:rsidRPr="00357AC5">
                            <w:rPr>
                              <w:rFonts w:ascii="Calibri" w:eastAsia="Calibri" w:hAnsi="Calibri" w:cs="Calibri"/>
                              <w:noProof/>
                              <w:color w:val="000000"/>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54B7EF"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9F615E3" w14:textId="50B27A0F" w:rsidR="00357AC5" w:rsidRPr="00357AC5" w:rsidRDefault="00357AC5" w:rsidP="00357AC5">
                    <w:pPr>
                      <w:rPr>
                        <w:rFonts w:ascii="Calibri" w:eastAsia="Calibri" w:hAnsi="Calibri" w:cs="Calibri"/>
                        <w:noProof/>
                        <w:color w:val="000000"/>
                      </w:rPr>
                    </w:pPr>
                    <w:r w:rsidRPr="00357AC5">
                      <w:rPr>
                        <w:rFonts w:ascii="Calibri" w:eastAsia="Calibri" w:hAnsi="Calibri" w:cs="Calibri"/>
                        <w:noProof/>
                        <w:color w:val="000000"/>
                      </w:rPr>
                      <w:t>Classification - Official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2F3"/>
    <w:multiLevelType w:val="hybridMultilevel"/>
    <w:tmpl w:val="86BC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E2184"/>
    <w:multiLevelType w:val="hybridMultilevel"/>
    <w:tmpl w:val="14E267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B0478C"/>
    <w:multiLevelType w:val="hybridMultilevel"/>
    <w:tmpl w:val="F8C0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C6A97"/>
    <w:multiLevelType w:val="hybridMultilevel"/>
    <w:tmpl w:val="CB7251E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310D7687"/>
    <w:multiLevelType w:val="hybridMultilevel"/>
    <w:tmpl w:val="FBDC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15B7F"/>
    <w:multiLevelType w:val="hybridMultilevel"/>
    <w:tmpl w:val="57303C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AA3501E"/>
    <w:multiLevelType w:val="hybridMultilevel"/>
    <w:tmpl w:val="78C8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A70E3"/>
    <w:multiLevelType w:val="hybridMultilevel"/>
    <w:tmpl w:val="F0E0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B005EE"/>
    <w:multiLevelType w:val="hybridMultilevel"/>
    <w:tmpl w:val="B2ECBF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3AE6509"/>
    <w:multiLevelType w:val="hybridMultilevel"/>
    <w:tmpl w:val="B62A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C0113"/>
    <w:multiLevelType w:val="hybridMultilevel"/>
    <w:tmpl w:val="B66A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155257">
    <w:abstractNumId w:val="3"/>
  </w:num>
  <w:num w:numId="2" w16cid:durableId="1828397073">
    <w:abstractNumId w:val="2"/>
  </w:num>
  <w:num w:numId="3" w16cid:durableId="1238783215">
    <w:abstractNumId w:val="6"/>
  </w:num>
  <w:num w:numId="4" w16cid:durableId="965701484">
    <w:abstractNumId w:val="4"/>
  </w:num>
  <w:num w:numId="5" w16cid:durableId="1147819563">
    <w:abstractNumId w:val="8"/>
  </w:num>
  <w:num w:numId="6" w16cid:durableId="140387893">
    <w:abstractNumId w:val="5"/>
  </w:num>
  <w:num w:numId="7" w16cid:durableId="673649895">
    <w:abstractNumId w:val="1"/>
  </w:num>
  <w:num w:numId="8" w16cid:durableId="1243176739">
    <w:abstractNumId w:val="7"/>
  </w:num>
  <w:num w:numId="9" w16cid:durableId="410128408">
    <w:abstractNumId w:val="0"/>
  </w:num>
  <w:num w:numId="10" w16cid:durableId="134371260">
    <w:abstractNumId w:val="10"/>
  </w:num>
  <w:num w:numId="11" w16cid:durableId="19341220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60"/>
    <w:rsid w:val="0001746F"/>
    <w:rsid w:val="00073930"/>
    <w:rsid w:val="000745C2"/>
    <w:rsid w:val="000B4197"/>
    <w:rsid w:val="000D30D4"/>
    <w:rsid w:val="000F6E3D"/>
    <w:rsid w:val="00110C8C"/>
    <w:rsid w:val="0013484D"/>
    <w:rsid w:val="0014355B"/>
    <w:rsid w:val="00165B78"/>
    <w:rsid w:val="00166441"/>
    <w:rsid w:val="00170613"/>
    <w:rsid w:val="00172A39"/>
    <w:rsid w:val="00187B29"/>
    <w:rsid w:val="00213648"/>
    <w:rsid w:val="002158F1"/>
    <w:rsid w:val="00230BCC"/>
    <w:rsid w:val="00241238"/>
    <w:rsid w:val="002572AF"/>
    <w:rsid w:val="00261EFA"/>
    <w:rsid w:val="002A5BFE"/>
    <w:rsid w:val="002A73CC"/>
    <w:rsid w:val="002C3969"/>
    <w:rsid w:val="002C6430"/>
    <w:rsid w:val="00305DE5"/>
    <w:rsid w:val="0031747F"/>
    <w:rsid w:val="00327AAD"/>
    <w:rsid w:val="003308A4"/>
    <w:rsid w:val="00330B5E"/>
    <w:rsid w:val="00341368"/>
    <w:rsid w:val="00357AC5"/>
    <w:rsid w:val="003B49A5"/>
    <w:rsid w:val="003B68CA"/>
    <w:rsid w:val="003C0506"/>
    <w:rsid w:val="003D4E6B"/>
    <w:rsid w:val="003F5DC8"/>
    <w:rsid w:val="00414F6C"/>
    <w:rsid w:val="00437D08"/>
    <w:rsid w:val="004B12CD"/>
    <w:rsid w:val="005003EA"/>
    <w:rsid w:val="0051177E"/>
    <w:rsid w:val="00537870"/>
    <w:rsid w:val="005451B2"/>
    <w:rsid w:val="00546493"/>
    <w:rsid w:val="005562B0"/>
    <w:rsid w:val="005564DE"/>
    <w:rsid w:val="0056211D"/>
    <w:rsid w:val="005711B4"/>
    <w:rsid w:val="00597A00"/>
    <w:rsid w:val="005A0BD7"/>
    <w:rsid w:val="005A4846"/>
    <w:rsid w:val="005D13CD"/>
    <w:rsid w:val="005D523C"/>
    <w:rsid w:val="005F45A3"/>
    <w:rsid w:val="0060696B"/>
    <w:rsid w:val="00610DDC"/>
    <w:rsid w:val="0061664D"/>
    <w:rsid w:val="00622854"/>
    <w:rsid w:val="00623E65"/>
    <w:rsid w:val="00630E0F"/>
    <w:rsid w:val="00652AAB"/>
    <w:rsid w:val="00652B8A"/>
    <w:rsid w:val="00683399"/>
    <w:rsid w:val="006A3313"/>
    <w:rsid w:val="006C2ACA"/>
    <w:rsid w:val="00710F73"/>
    <w:rsid w:val="0071383C"/>
    <w:rsid w:val="00717739"/>
    <w:rsid w:val="007316A3"/>
    <w:rsid w:val="007347C3"/>
    <w:rsid w:val="007664D6"/>
    <w:rsid w:val="007700A3"/>
    <w:rsid w:val="007B70D2"/>
    <w:rsid w:val="007C22B3"/>
    <w:rsid w:val="007F6D12"/>
    <w:rsid w:val="00815137"/>
    <w:rsid w:val="008347A9"/>
    <w:rsid w:val="008440A2"/>
    <w:rsid w:val="00845B13"/>
    <w:rsid w:val="00845B19"/>
    <w:rsid w:val="0084622B"/>
    <w:rsid w:val="00851546"/>
    <w:rsid w:val="00875B6C"/>
    <w:rsid w:val="00884458"/>
    <w:rsid w:val="00886683"/>
    <w:rsid w:val="008B6A57"/>
    <w:rsid w:val="008D32F3"/>
    <w:rsid w:val="008D44AB"/>
    <w:rsid w:val="008E7686"/>
    <w:rsid w:val="008F17F1"/>
    <w:rsid w:val="008F259C"/>
    <w:rsid w:val="00905512"/>
    <w:rsid w:val="009236E5"/>
    <w:rsid w:val="00937444"/>
    <w:rsid w:val="00965FCA"/>
    <w:rsid w:val="00986D07"/>
    <w:rsid w:val="009F2400"/>
    <w:rsid w:val="009F7B7F"/>
    <w:rsid w:val="00A115FB"/>
    <w:rsid w:val="00A22C26"/>
    <w:rsid w:val="00A33FF3"/>
    <w:rsid w:val="00A60D70"/>
    <w:rsid w:val="00AA392F"/>
    <w:rsid w:val="00AC6000"/>
    <w:rsid w:val="00AF321F"/>
    <w:rsid w:val="00B13F9A"/>
    <w:rsid w:val="00B8065F"/>
    <w:rsid w:val="00B926DF"/>
    <w:rsid w:val="00B95E88"/>
    <w:rsid w:val="00BB30C5"/>
    <w:rsid w:val="00BB556C"/>
    <w:rsid w:val="00BC20F5"/>
    <w:rsid w:val="00BC78AD"/>
    <w:rsid w:val="00BD2164"/>
    <w:rsid w:val="00BD57BF"/>
    <w:rsid w:val="00C12138"/>
    <w:rsid w:val="00C32A60"/>
    <w:rsid w:val="00C37732"/>
    <w:rsid w:val="00C83FEF"/>
    <w:rsid w:val="00CA402E"/>
    <w:rsid w:val="00CC1F6B"/>
    <w:rsid w:val="00CD002D"/>
    <w:rsid w:val="00CF6BFD"/>
    <w:rsid w:val="00D15248"/>
    <w:rsid w:val="00D15576"/>
    <w:rsid w:val="00D926C9"/>
    <w:rsid w:val="00DA3645"/>
    <w:rsid w:val="00DA579E"/>
    <w:rsid w:val="00DD6CC5"/>
    <w:rsid w:val="00E30C7E"/>
    <w:rsid w:val="00E66908"/>
    <w:rsid w:val="00E67E96"/>
    <w:rsid w:val="00EB0EF8"/>
    <w:rsid w:val="00EB1B43"/>
    <w:rsid w:val="00EE446C"/>
    <w:rsid w:val="00EF097E"/>
    <w:rsid w:val="00F124D8"/>
    <w:rsid w:val="00F178B7"/>
    <w:rsid w:val="00F2563F"/>
    <w:rsid w:val="00F5023A"/>
    <w:rsid w:val="00F74520"/>
    <w:rsid w:val="00F80E80"/>
    <w:rsid w:val="00F9244D"/>
    <w:rsid w:val="00FE7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CE8BE"/>
  <w15:docId w15:val="{37305DE1-2325-45C7-874B-07872EC5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32A60"/>
    <w:pPr>
      <w:keepNext/>
      <w:outlineLvl w:val="0"/>
    </w:pPr>
    <w:rPr>
      <w:rFonts w:ascii="Times New (W1)" w:hAnsi="Times New (W1)"/>
      <w:b/>
    </w:rPr>
  </w:style>
  <w:style w:type="paragraph" w:styleId="Heading2">
    <w:name w:val="heading 2"/>
    <w:basedOn w:val="Normal"/>
    <w:next w:val="Normal"/>
    <w:link w:val="Heading2Char"/>
    <w:uiPriority w:val="9"/>
    <w:semiHidden/>
    <w:unhideWhenUsed/>
    <w:qFormat/>
    <w:rsid w:val="003B68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68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68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2A60"/>
    <w:rPr>
      <w:rFonts w:ascii="Times New (W1)" w:eastAsia="Times New Roman" w:hAnsi="Times New (W1)" w:cs="Times New Roman"/>
      <w:b/>
      <w:sz w:val="24"/>
      <w:szCs w:val="24"/>
    </w:rPr>
  </w:style>
  <w:style w:type="paragraph" w:styleId="Header">
    <w:name w:val="header"/>
    <w:basedOn w:val="Normal"/>
    <w:link w:val="HeaderChar"/>
    <w:uiPriority w:val="99"/>
    <w:rsid w:val="00C32A60"/>
    <w:pPr>
      <w:tabs>
        <w:tab w:val="center" w:pos="4680"/>
        <w:tab w:val="right" w:pos="9360"/>
      </w:tabs>
    </w:pPr>
  </w:style>
  <w:style w:type="character" w:customStyle="1" w:styleId="HeaderChar">
    <w:name w:val="Header Char"/>
    <w:basedOn w:val="DefaultParagraphFont"/>
    <w:link w:val="Header"/>
    <w:uiPriority w:val="99"/>
    <w:rsid w:val="00C32A60"/>
    <w:rPr>
      <w:rFonts w:ascii="Times New Roman" w:eastAsia="Times New Roman" w:hAnsi="Times New Roman" w:cs="Times New Roman"/>
      <w:sz w:val="24"/>
      <w:szCs w:val="24"/>
    </w:rPr>
  </w:style>
  <w:style w:type="paragraph" w:styleId="Footer">
    <w:name w:val="footer"/>
    <w:basedOn w:val="Normal"/>
    <w:link w:val="FooterChar"/>
    <w:uiPriority w:val="99"/>
    <w:rsid w:val="00C32A60"/>
    <w:pPr>
      <w:tabs>
        <w:tab w:val="center" w:pos="4680"/>
        <w:tab w:val="right" w:pos="9360"/>
      </w:tabs>
    </w:pPr>
  </w:style>
  <w:style w:type="character" w:customStyle="1" w:styleId="FooterChar">
    <w:name w:val="Footer Char"/>
    <w:basedOn w:val="DefaultParagraphFont"/>
    <w:link w:val="Footer"/>
    <w:uiPriority w:val="99"/>
    <w:rsid w:val="00C32A60"/>
    <w:rPr>
      <w:rFonts w:ascii="Times New Roman" w:eastAsia="Times New Roman" w:hAnsi="Times New Roman" w:cs="Times New Roman"/>
      <w:sz w:val="24"/>
      <w:szCs w:val="24"/>
    </w:rPr>
  </w:style>
  <w:style w:type="paragraph" w:styleId="BodyText">
    <w:name w:val="Body Text"/>
    <w:basedOn w:val="Normal"/>
    <w:link w:val="BodyTextChar"/>
    <w:uiPriority w:val="99"/>
    <w:rsid w:val="00C32A60"/>
    <w:rPr>
      <w:rFonts w:ascii="Times New (W1)" w:hAnsi="Times New (W1)"/>
      <w:b/>
      <w:sz w:val="20"/>
    </w:rPr>
  </w:style>
  <w:style w:type="character" w:customStyle="1" w:styleId="BodyTextChar">
    <w:name w:val="Body Text Char"/>
    <w:basedOn w:val="DefaultParagraphFont"/>
    <w:link w:val="BodyText"/>
    <w:uiPriority w:val="99"/>
    <w:rsid w:val="00C32A60"/>
    <w:rPr>
      <w:rFonts w:ascii="Times New (W1)" w:eastAsia="Times New Roman" w:hAnsi="Times New (W1)" w:cs="Times New Roman"/>
      <w:b/>
      <w:sz w:val="20"/>
      <w:szCs w:val="24"/>
    </w:rPr>
  </w:style>
  <w:style w:type="paragraph" w:styleId="ListParagraph">
    <w:name w:val="List Paragraph"/>
    <w:basedOn w:val="Normal"/>
    <w:uiPriority w:val="99"/>
    <w:qFormat/>
    <w:rsid w:val="00C32A60"/>
    <w:pPr>
      <w:ind w:left="720"/>
      <w:contextualSpacing/>
    </w:pPr>
  </w:style>
  <w:style w:type="character" w:customStyle="1" w:styleId="Heading2Char">
    <w:name w:val="Heading 2 Char"/>
    <w:basedOn w:val="DefaultParagraphFont"/>
    <w:link w:val="Heading2"/>
    <w:uiPriority w:val="9"/>
    <w:semiHidden/>
    <w:rsid w:val="003B68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68C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3B68CA"/>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3B68CA"/>
    <w:pPr>
      <w:jc w:val="center"/>
    </w:pPr>
    <w:rPr>
      <w:rFonts w:ascii="Times New (W1)" w:hAnsi="Times New (W1)"/>
      <w:b/>
      <w:sz w:val="32"/>
    </w:rPr>
  </w:style>
  <w:style w:type="character" w:customStyle="1" w:styleId="TitleChar">
    <w:name w:val="Title Char"/>
    <w:basedOn w:val="DefaultParagraphFont"/>
    <w:link w:val="Title"/>
    <w:rsid w:val="003B68CA"/>
    <w:rPr>
      <w:rFonts w:ascii="Times New (W1)" w:eastAsia="Times New Roman" w:hAnsi="Times New (W1)" w:cs="Times New Roman"/>
      <w:b/>
      <w:sz w:val="32"/>
      <w:szCs w:val="24"/>
    </w:rPr>
  </w:style>
  <w:style w:type="paragraph" w:customStyle="1" w:styleId="Default">
    <w:name w:val="Default"/>
    <w:rsid w:val="0062285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B4197"/>
    <w:rPr>
      <w:rFonts w:ascii="Tahoma" w:hAnsi="Tahoma" w:cs="Tahoma"/>
      <w:sz w:val="16"/>
      <w:szCs w:val="16"/>
    </w:rPr>
  </w:style>
  <w:style w:type="character" w:customStyle="1" w:styleId="BalloonTextChar">
    <w:name w:val="Balloon Text Char"/>
    <w:basedOn w:val="DefaultParagraphFont"/>
    <w:link w:val="BalloonText"/>
    <w:uiPriority w:val="99"/>
    <w:semiHidden/>
    <w:rsid w:val="000B4197"/>
    <w:rPr>
      <w:rFonts w:ascii="Tahoma" w:eastAsia="Times New Roman" w:hAnsi="Tahoma" w:cs="Tahoma"/>
      <w:sz w:val="16"/>
      <w:szCs w:val="16"/>
    </w:rPr>
  </w:style>
  <w:style w:type="table" w:styleId="TableGrid">
    <w:name w:val="Table Grid"/>
    <w:basedOn w:val="TableNormal"/>
    <w:uiPriority w:val="59"/>
    <w:rsid w:val="00C1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2">
    <w:name w:val="legds2"/>
    <w:basedOn w:val="DefaultParagraphFont"/>
    <w:rsid w:val="00683399"/>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CEA0-7E77-4792-A158-CBFD6930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2709</Words>
  <Characters>15446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browne</dc:creator>
  <cp:lastModifiedBy>Kirstin McDonald</cp:lastModifiedBy>
  <cp:revision>2</cp:revision>
  <cp:lastPrinted>2021-01-22T15:34:00Z</cp:lastPrinted>
  <dcterms:created xsi:type="dcterms:W3CDTF">2023-08-16T11:24:00Z</dcterms:created>
  <dcterms:modified xsi:type="dcterms:W3CDTF">2023-08-16T11:24:00Z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721aad3a,7e41ce31,15f9e9f9</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 -  Sensitive</vt:lpwstr>
  </property>
  <property fmtid="{D5CDD505-2E9C-101B-9397-08002B2CF9AE}" pid="5" name="MSIP_Label_eaf919c1-e31e-4a8b-81de-c02b82f1dba3_Enabled">
    <vt:lpwstr>true</vt:lpwstr>
  </property>
  <property fmtid="{D5CDD505-2E9C-101B-9397-08002B2CF9AE}" pid="6" name="MSIP_Label_eaf919c1-e31e-4a8b-81de-c02b82f1dba3_SetDate">
    <vt:lpwstr>2023-08-16T11:23:42Z</vt:lpwstr>
  </property>
  <property fmtid="{D5CDD505-2E9C-101B-9397-08002B2CF9AE}" pid="7" name="MSIP_Label_eaf919c1-e31e-4a8b-81de-c02b82f1dba3_Method">
    <vt:lpwstr>Privileged</vt:lpwstr>
  </property>
  <property fmtid="{D5CDD505-2E9C-101B-9397-08002B2CF9AE}" pid="8" name="MSIP_Label_eaf919c1-e31e-4a8b-81de-c02b82f1dba3_Name">
    <vt:lpwstr>Official - Sensitive</vt:lpwstr>
  </property>
  <property fmtid="{D5CDD505-2E9C-101B-9397-08002B2CF9AE}" pid="9" name="MSIP_Label_eaf919c1-e31e-4a8b-81de-c02b82f1dba3_SiteId">
    <vt:lpwstr>5eee4d58-f197-4ad7-9e39-ebd0d2463660</vt:lpwstr>
  </property>
  <property fmtid="{D5CDD505-2E9C-101B-9397-08002B2CF9AE}" pid="10" name="MSIP_Label_eaf919c1-e31e-4a8b-81de-c02b82f1dba3_ActionId">
    <vt:lpwstr>45c46efe-0990-4ec8-9c7d-25cc53657c01</vt:lpwstr>
  </property>
  <property fmtid="{D5CDD505-2E9C-101B-9397-08002B2CF9AE}" pid="11" name="MSIP_Label_eaf919c1-e31e-4a8b-81de-c02b82f1dba3_ContentBits">
    <vt:lpwstr>1</vt:lpwstr>
  </property>
</Properties>
</file>