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98BD" w14:textId="275FDFFE" w:rsidR="002465FF" w:rsidRPr="006C3990" w:rsidRDefault="002465FF" w:rsidP="002465FF">
      <w:pPr>
        <w:spacing w:after="0" w:line="240" w:lineRule="auto"/>
        <w:jc w:val="center"/>
        <w:rPr>
          <w:rFonts w:cs="Times New Roman"/>
          <w:color w:val="FF0000"/>
          <w:sz w:val="40"/>
          <w:szCs w:val="28"/>
        </w:rPr>
      </w:pPr>
    </w:p>
    <w:p w14:paraId="1B08651A" w14:textId="77777777" w:rsidR="002465FF" w:rsidRDefault="002465FF" w:rsidP="002465FF">
      <w:pPr>
        <w:spacing w:after="0" w:line="240" w:lineRule="auto"/>
        <w:jc w:val="center"/>
        <w:rPr>
          <w:color w:val="auto"/>
          <w:sz w:val="22"/>
          <w:szCs w:val="22"/>
        </w:rPr>
      </w:pPr>
      <w:r w:rsidRPr="006C3990">
        <w:rPr>
          <w:rFonts w:cs="Times New Roman"/>
          <w:color w:val="FF0000"/>
          <w:sz w:val="40"/>
          <w:szCs w:val="28"/>
        </w:rPr>
        <w:t>Finances</w:t>
      </w:r>
    </w:p>
    <w:p w14:paraId="2C1B5324" w14:textId="77777777" w:rsidR="002465FF" w:rsidRDefault="002465FF" w:rsidP="002465FF">
      <w:pPr>
        <w:rPr>
          <w:color w:val="auto"/>
          <w:sz w:val="22"/>
          <w:szCs w:val="22"/>
        </w:rPr>
      </w:pPr>
    </w:p>
    <w:p w14:paraId="2F514480" w14:textId="7C0B8BD5" w:rsidR="002465FF" w:rsidRDefault="002465FF" w:rsidP="002465F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following allowance and fees calculations are correct as of March 2023</w:t>
      </w:r>
    </w:p>
    <w:p w14:paraId="5BBDB3B9" w14:textId="77777777" w:rsidR="002465FF" w:rsidRPr="006C3990" w:rsidRDefault="002465FF" w:rsidP="002465FF">
      <w:pPr>
        <w:rPr>
          <w:b/>
          <w:color w:val="4472C4" w:themeColor="accent1"/>
          <w:sz w:val="22"/>
          <w:szCs w:val="22"/>
          <w:u w:val="single"/>
        </w:rPr>
      </w:pPr>
      <w:r>
        <w:rPr>
          <w:b/>
          <w:color w:val="4472C4" w:themeColor="accent1"/>
          <w:sz w:val="22"/>
          <w:szCs w:val="22"/>
          <w:u w:val="single"/>
        </w:rPr>
        <w:t>Fostering A</w:t>
      </w:r>
      <w:r w:rsidRPr="006C3990">
        <w:rPr>
          <w:b/>
          <w:color w:val="4472C4" w:themeColor="accent1"/>
          <w:sz w:val="22"/>
          <w:szCs w:val="22"/>
          <w:u w:val="single"/>
        </w:rPr>
        <w:t xml:space="preserve">llowances and </w:t>
      </w:r>
      <w:r>
        <w:rPr>
          <w:b/>
          <w:color w:val="4472C4" w:themeColor="accent1"/>
          <w:sz w:val="22"/>
          <w:szCs w:val="22"/>
          <w:u w:val="single"/>
        </w:rPr>
        <w:t>F</w:t>
      </w:r>
      <w:r w:rsidRPr="006C3990">
        <w:rPr>
          <w:b/>
          <w:color w:val="4472C4" w:themeColor="accent1"/>
          <w:sz w:val="22"/>
          <w:szCs w:val="22"/>
          <w:u w:val="single"/>
        </w:rPr>
        <w:t>ees</w:t>
      </w:r>
    </w:p>
    <w:p w14:paraId="17A49627" w14:textId="77777777" w:rsidR="002465FF" w:rsidRDefault="002465FF" w:rsidP="002465F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 allowance is paid for each </w:t>
      </w:r>
      <w:proofErr w:type="gramStart"/>
      <w:r>
        <w:rPr>
          <w:color w:val="auto"/>
          <w:sz w:val="22"/>
          <w:szCs w:val="22"/>
        </w:rPr>
        <w:t>child cared</w:t>
      </w:r>
      <w:proofErr w:type="gramEnd"/>
      <w:r>
        <w:rPr>
          <w:color w:val="auto"/>
          <w:sz w:val="22"/>
          <w:szCs w:val="22"/>
        </w:rPr>
        <w:t xml:space="preserve"> for by a foster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. The allowance is intended to cover the cost of caring for the child including a proportion of the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>(s) household costs. Allowances are paid fortnightly in advance.</w:t>
      </w:r>
    </w:p>
    <w:p w14:paraId="202116C2" w14:textId="746446CD" w:rsidR="002465FF" w:rsidRDefault="002465FF" w:rsidP="002465F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Fees are paid to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who have reached the relevant skill levels and are paid per fostering household per week. Fees are also paid fortnightly in advance.</w:t>
      </w:r>
    </w:p>
    <w:p w14:paraId="3072D9FC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Level 1 </w:t>
      </w:r>
      <w:proofErr w:type="spellStart"/>
      <w:r>
        <w:rPr>
          <w:b/>
          <w:color w:val="auto"/>
          <w:sz w:val="22"/>
          <w:szCs w:val="22"/>
        </w:rPr>
        <w:t>Carers</w:t>
      </w:r>
      <w:proofErr w:type="spellEnd"/>
    </w:p>
    <w:p w14:paraId="4121534A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 a Level 1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 you will be paid the basic fostering allowance. The allowance is paid per child per week.</w:t>
      </w:r>
    </w:p>
    <w:p w14:paraId="3685274F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530"/>
        <w:gridCol w:w="4401"/>
      </w:tblGrid>
      <w:tr w:rsidR="002465FF" w14:paraId="48CB6463" w14:textId="77777777" w:rsidTr="00980E9C">
        <w:trPr>
          <w:trHeight w:val="263"/>
        </w:trPr>
        <w:tc>
          <w:tcPr>
            <w:tcW w:w="4530" w:type="dxa"/>
          </w:tcPr>
          <w:p w14:paraId="2D41CAFB" w14:textId="77777777" w:rsidR="002465FF" w:rsidRPr="00F55C12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4401" w:type="dxa"/>
          </w:tcPr>
          <w:p w14:paraId="5014CB63" w14:textId="77777777" w:rsidR="002465FF" w:rsidRPr="00F55C12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Allowance</w:t>
            </w:r>
          </w:p>
        </w:tc>
      </w:tr>
      <w:tr w:rsidR="002465FF" w14:paraId="6211C970" w14:textId="77777777" w:rsidTr="00980E9C">
        <w:trPr>
          <w:trHeight w:val="263"/>
        </w:trPr>
        <w:tc>
          <w:tcPr>
            <w:tcW w:w="4530" w:type="dxa"/>
          </w:tcPr>
          <w:p w14:paraId="3DD7187C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0-4 years</w:t>
            </w:r>
          </w:p>
        </w:tc>
        <w:tc>
          <w:tcPr>
            <w:tcW w:w="4401" w:type="dxa"/>
          </w:tcPr>
          <w:p w14:paraId="7FD323CF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£127.59</w:t>
            </w:r>
          </w:p>
        </w:tc>
      </w:tr>
      <w:tr w:rsidR="002465FF" w14:paraId="64C04EC8" w14:textId="77777777" w:rsidTr="00980E9C">
        <w:trPr>
          <w:trHeight w:val="263"/>
        </w:trPr>
        <w:tc>
          <w:tcPr>
            <w:tcW w:w="4530" w:type="dxa"/>
          </w:tcPr>
          <w:p w14:paraId="5F69B6A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5-10 years</w:t>
            </w:r>
          </w:p>
        </w:tc>
        <w:tc>
          <w:tcPr>
            <w:tcW w:w="4401" w:type="dxa"/>
          </w:tcPr>
          <w:p w14:paraId="75915D97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£145.34</w:t>
            </w:r>
          </w:p>
        </w:tc>
      </w:tr>
      <w:tr w:rsidR="002465FF" w14:paraId="7CEC65F9" w14:textId="77777777" w:rsidTr="00980E9C">
        <w:trPr>
          <w:trHeight w:val="279"/>
        </w:trPr>
        <w:tc>
          <w:tcPr>
            <w:tcW w:w="4530" w:type="dxa"/>
          </w:tcPr>
          <w:p w14:paraId="409B4245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11-15 years</w:t>
            </w:r>
          </w:p>
        </w:tc>
        <w:tc>
          <w:tcPr>
            <w:tcW w:w="4401" w:type="dxa"/>
          </w:tcPr>
          <w:p w14:paraId="1F4A3553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£180.93</w:t>
            </w:r>
          </w:p>
        </w:tc>
      </w:tr>
      <w:tr w:rsidR="002465FF" w14:paraId="2D799E65" w14:textId="77777777" w:rsidTr="00980E9C">
        <w:trPr>
          <w:trHeight w:val="279"/>
        </w:trPr>
        <w:tc>
          <w:tcPr>
            <w:tcW w:w="4530" w:type="dxa"/>
          </w:tcPr>
          <w:p w14:paraId="141103D6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16+</w:t>
            </w:r>
          </w:p>
        </w:tc>
        <w:tc>
          <w:tcPr>
            <w:tcW w:w="4401" w:type="dxa"/>
          </w:tcPr>
          <w:p w14:paraId="6BCCDE5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£220.05</w:t>
            </w:r>
          </w:p>
        </w:tc>
      </w:tr>
    </w:tbl>
    <w:p w14:paraId="2DBE61EF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BBFCE1C" w14:textId="0CD6FEB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you have a </w:t>
      </w:r>
      <w:proofErr w:type="gramStart"/>
      <w:r>
        <w:rPr>
          <w:color w:val="auto"/>
          <w:sz w:val="22"/>
          <w:szCs w:val="22"/>
        </w:rPr>
        <w:t>4 year old</w:t>
      </w:r>
      <w:proofErr w:type="gramEnd"/>
      <w:r>
        <w:rPr>
          <w:color w:val="auto"/>
          <w:sz w:val="22"/>
          <w:szCs w:val="22"/>
        </w:rPr>
        <w:t xml:space="preserve"> and a 7 year old in placement you will receive an allowance of £272.93 per week.</w:t>
      </w:r>
    </w:p>
    <w:p w14:paraId="08530289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394E6B5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Level 2 </w:t>
      </w:r>
      <w:proofErr w:type="spellStart"/>
      <w:r>
        <w:rPr>
          <w:b/>
          <w:color w:val="auto"/>
          <w:sz w:val="22"/>
          <w:szCs w:val="22"/>
        </w:rPr>
        <w:t>Carers</w:t>
      </w:r>
      <w:proofErr w:type="spellEnd"/>
    </w:p>
    <w:p w14:paraId="32639CA6" w14:textId="4F30971F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 a Level 2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 you will be paid the basic fostering allowance plus a fee of £1</w:t>
      </w:r>
      <w:r w:rsidR="009D17D4">
        <w:rPr>
          <w:color w:val="auto"/>
          <w:sz w:val="22"/>
          <w:szCs w:val="22"/>
        </w:rPr>
        <w:t>93:75</w:t>
      </w:r>
      <w:r>
        <w:rPr>
          <w:color w:val="auto"/>
          <w:sz w:val="22"/>
          <w:szCs w:val="22"/>
        </w:rPr>
        <w:t xml:space="preserve"> if you have one or two children in placement and £</w:t>
      </w:r>
      <w:r w:rsidR="009D17D4">
        <w:rPr>
          <w:color w:val="auto"/>
          <w:sz w:val="22"/>
          <w:szCs w:val="22"/>
        </w:rPr>
        <w:t>225</w:t>
      </w:r>
      <w:r>
        <w:rPr>
          <w:color w:val="auto"/>
          <w:sz w:val="22"/>
          <w:szCs w:val="22"/>
        </w:rPr>
        <w:t>.00 if you have three or more children in placement.</w:t>
      </w:r>
    </w:p>
    <w:p w14:paraId="327D5F8D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0EC7767F" w14:textId="126E5B81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example, if you have a </w:t>
      </w:r>
      <w:proofErr w:type="gramStart"/>
      <w:r>
        <w:rPr>
          <w:color w:val="auto"/>
          <w:sz w:val="22"/>
          <w:szCs w:val="22"/>
        </w:rPr>
        <w:t>4 year old</w:t>
      </w:r>
      <w:proofErr w:type="gramEnd"/>
      <w:r>
        <w:rPr>
          <w:color w:val="auto"/>
          <w:sz w:val="22"/>
          <w:szCs w:val="22"/>
        </w:rPr>
        <w:t xml:space="preserve"> and a 7 year old in placement you will receive £4</w:t>
      </w:r>
      <w:r w:rsidR="00931192">
        <w:rPr>
          <w:color w:val="auto"/>
          <w:sz w:val="22"/>
          <w:szCs w:val="22"/>
        </w:rPr>
        <w:t>66:68</w:t>
      </w:r>
      <w:r>
        <w:rPr>
          <w:color w:val="auto"/>
          <w:sz w:val="22"/>
          <w:szCs w:val="22"/>
        </w:rPr>
        <w:t>. If the children’s baby sister is placed with you then you will receive £</w:t>
      </w:r>
      <w:r w:rsidR="006312E5">
        <w:rPr>
          <w:color w:val="auto"/>
          <w:sz w:val="22"/>
          <w:szCs w:val="22"/>
        </w:rPr>
        <w:t>625</w:t>
      </w:r>
      <w:r>
        <w:rPr>
          <w:color w:val="auto"/>
          <w:sz w:val="22"/>
          <w:szCs w:val="22"/>
        </w:rPr>
        <w:t>.52 per week.</w:t>
      </w:r>
    </w:p>
    <w:p w14:paraId="1519AA8D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4B0907B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Level 3 </w:t>
      </w:r>
      <w:proofErr w:type="spellStart"/>
      <w:r>
        <w:rPr>
          <w:b/>
          <w:color w:val="auto"/>
          <w:sz w:val="22"/>
          <w:szCs w:val="22"/>
        </w:rPr>
        <w:t>Carers</w:t>
      </w:r>
      <w:proofErr w:type="spellEnd"/>
    </w:p>
    <w:p w14:paraId="54A38D6F" w14:textId="0B22CE8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 a level 3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 you will be paid the basic fostering allowance plus a weekly fee of £2</w:t>
      </w:r>
      <w:r w:rsidR="006312E5">
        <w:rPr>
          <w:color w:val="auto"/>
          <w:sz w:val="22"/>
          <w:szCs w:val="22"/>
        </w:rPr>
        <w:t>87:50</w:t>
      </w:r>
      <w:r>
        <w:rPr>
          <w:color w:val="auto"/>
          <w:sz w:val="22"/>
          <w:szCs w:val="22"/>
        </w:rPr>
        <w:t xml:space="preserve"> for one or two children and £</w:t>
      </w:r>
      <w:r w:rsidR="00E71A3A">
        <w:rPr>
          <w:color w:val="auto"/>
          <w:sz w:val="22"/>
          <w:szCs w:val="22"/>
        </w:rPr>
        <w:t>318:75</w:t>
      </w:r>
      <w:r>
        <w:rPr>
          <w:color w:val="auto"/>
          <w:sz w:val="22"/>
          <w:szCs w:val="22"/>
        </w:rPr>
        <w:t xml:space="preserve"> for three or more children.</w:t>
      </w:r>
    </w:p>
    <w:p w14:paraId="2175B17E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3B270444" w14:textId="0D5C9ACF" w:rsidR="002465FF" w:rsidRPr="006D1488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</w:t>
      </w:r>
      <w:proofErr w:type="gramStart"/>
      <w:r>
        <w:rPr>
          <w:color w:val="auto"/>
          <w:sz w:val="22"/>
          <w:szCs w:val="22"/>
        </w:rPr>
        <w:t>example</w:t>
      </w:r>
      <w:proofErr w:type="gramEnd"/>
      <w:r>
        <w:rPr>
          <w:color w:val="auto"/>
          <w:sz w:val="22"/>
          <w:szCs w:val="22"/>
        </w:rPr>
        <w:t xml:space="preserve"> if you have a 4 year old and a 7 year old in placement you will receive £5</w:t>
      </w:r>
      <w:r w:rsidR="00E71A3A">
        <w:rPr>
          <w:color w:val="auto"/>
          <w:sz w:val="22"/>
          <w:szCs w:val="22"/>
        </w:rPr>
        <w:t>60:43</w:t>
      </w:r>
      <w:r>
        <w:rPr>
          <w:color w:val="auto"/>
          <w:sz w:val="22"/>
          <w:szCs w:val="22"/>
        </w:rPr>
        <w:t>. If the children’s baby brother is then placed with you then you will receive £</w:t>
      </w:r>
      <w:r w:rsidR="00E71A3A">
        <w:rPr>
          <w:color w:val="auto"/>
          <w:sz w:val="22"/>
          <w:szCs w:val="22"/>
        </w:rPr>
        <w:t>719:2</w:t>
      </w:r>
      <w:r w:rsidR="00931192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per week.</w:t>
      </w:r>
    </w:p>
    <w:p w14:paraId="62DB8835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5D68F109" w14:textId="77777777" w:rsidR="00416C02" w:rsidRDefault="00416C02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30002B97" w14:textId="77777777" w:rsidR="00416C02" w:rsidRDefault="00416C02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1BC6245A" w14:textId="77777777" w:rsidR="00416C02" w:rsidRDefault="00416C02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1B053B7D" w14:textId="67860E2B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 xml:space="preserve">Level 4 </w:t>
      </w:r>
      <w:proofErr w:type="spellStart"/>
      <w:r>
        <w:rPr>
          <w:b/>
          <w:color w:val="auto"/>
          <w:sz w:val="22"/>
          <w:szCs w:val="22"/>
        </w:rPr>
        <w:t>Carers</w:t>
      </w:r>
      <w:proofErr w:type="spellEnd"/>
    </w:p>
    <w:p w14:paraId="1CDA6941" w14:textId="77777777" w:rsidR="00416C02" w:rsidRDefault="00416C02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32C7E2E8" w14:textId="7F77EDAE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Level 4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will be paid the basic fostering allowance enhanced by 50% to </w:t>
      </w:r>
      <w:proofErr w:type="spellStart"/>
      <w:r>
        <w:rPr>
          <w:color w:val="auto"/>
          <w:sz w:val="22"/>
          <w:szCs w:val="22"/>
        </w:rPr>
        <w:t>recognise</w:t>
      </w:r>
      <w:proofErr w:type="spellEnd"/>
      <w:r>
        <w:rPr>
          <w:color w:val="auto"/>
          <w:sz w:val="22"/>
          <w:szCs w:val="22"/>
        </w:rPr>
        <w:t xml:space="preserve"> the complex needs of the young people who will be placed. In </w:t>
      </w:r>
      <w:proofErr w:type="gramStart"/>
      <w:r>
        <w:rPr>
          <w:color w:val="auto"/>
          <w:sz w:val="22"/>
          <w:szCs w:val="22"/>
        </w:rPr>
        <w:t>addition</w:t>
      </w:r>
      <w:proofErr w:type="gramEnd"/>
      <w:r>
        <w:rPr>
          <w:color w:val="auto"/>
          <w:sz w:val="22"/>
          <w:szCs w:val="22"/>
        </w:rPr>
        <w:t xml:space="preserve"> they will be paid a weekly fee of £3</w:t>
      </w:r>
      <w:r w:rsidR="005B54AE">
        <w:rPr>
          <w:color w:val="auto"/>
          <w:sz w:val="22"/>
          <w:szCs w:val="22"/>
        </w:rPr>
        <w:t>81:25</w:t>
      </w:r>
    </w:p>
    <w:p w14:paraId="3958B679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B5D11C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allowance per week per child is:</w:t>
      </w:r>
    </w:p>
    <w:p w14:paraId="5C7FE69E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428"/>
      </w:tblGrid>
      <w:tr w:rsidR="002465FF" w14:paraId="66FD6DC3" w14:textId="77777777" w:rsidTr="00980E9C">
        <w:tc>
          <w:tcPr>
            <w:tcW w:w="4320" w:type="dxa"/>
          </w:tcPr>
          <w:p w14:paraId="31BF27BF" w14:textId="77777777" w:rsidR="002465FF" w:rsidRPr="00105F4D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05F4D">
              <w:rPr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4428" w:type="dxa"/>
          </w:tcPr>
          <w:p w14:paraId="0D6496E4" w14:textId="77777777" w:rsidR="002465FF" w:rsidRPr="00105F4D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Allowances</w:t>
            </w:r>
          </w:p>
        </w:tc>
      </w:tr>
      <w:tr w:rsidR="002465FF" w14:paraId="05FBF85F" w14:textId="77777777" w:rsidTr="00980E9C">
        <w:tc>
          <w:tcPr>
            <w:tcW w:w="4320" w:type="dxa"/>
          </w:tcPr>
          <w:p w14:paraId="2368AFE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0-4</w:t>
            </w:r>
          </w:p>
        </w:tc>
        <w:tc>
          <w:tcPr>
            <w:tcW w:w="4428" w:type="dxa"/>
          </w:tcPr>
          <w:p w14:paraId="022FFCA5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£191.38</w:t>
            </w:r>
          </w:p>
        </w:tc>
      </w:tr>
      <w:tr w:rsidR="002465FF" w14:paraId="3B6B6C2D" w14:textId="77777777" w:rsidTr="00980E9C">
        <w:tc>
          <w:tcPr>
            <w:tcW w:w="4320" w:type="dxa"/>
          </w:tcPr>
          <w:p w14:paraId="2E74115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5-10</w:t>
            </w:r>
          </w:p>
        </w:tc>
        <w:tc>
          <w:tcPr>
            <w:tcW w:w="4428" w:type="dxa"/>
          </w:tcPr>
          <w:p w14:paraId="35CAAD6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£218.00</w:t>
            </w:r>
          </w:p>
        </w:tc>
      </w:tr>
      <w:tr w:rsidR="002465FF" w14:paraId="44DE51F9" w14:textId="77777777" w:rsidTr="00980E9C">
        <w:tc>
          <w:tcPr>
            <w:tcW w:w="4320" w:type="dxa"/>
          </w:tcPr>
          <w:p w14:paraId="2321C00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11-15</w:t>
            </w:r>
          </w:p>
        </w:tc>
        <w:tc>
          <w:tcPr>
            <w:tcW w:w="4428" w:type="dxa"/>
          </w:tcPr>
          <w:p w14:paraId="60D0C9E5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£271.39</w:t>
            </w:r>
          </w:p>
        </w:tc>
      </w:tr>
      <w:tr w:rsidR="002465FF" w14:paraId="10AC579D" w14:textId="77777777" w:rsidTr="00980E9C">
        <w:tc>
          <w:tcPr>
            <w:tcW w:w="4320" w:type="dxa"/>
          </w:tcPr>
          <w:p w14:paraId="1FFB99FF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16+</w:t>
            </w:r>
          </w:p>
        </w:tc>
        <w:tc>
          <w:tcPr>
            <w:tcW w:w="4428" w:type="dxa"/>
          </w:tcPr>
          <w:p w14:paraId="124F8BA1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£330.07</w:t>
            </w:r>
          </w:p>
        </w:tc>
      </w:tr>
    </w:tbl>
    <w:p w14:paraId="3EA9D762" w14:textId="77777777" w:rsidR="002465FF" w:rsidRPr="00105F4D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4B8B10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Supplementary to the levels of allowances and fees, </w:t>
      </w:r>
      <w:proofErr w:type="gramStart"/>
      <w:r>
        <w:rPr>
          <w:color w:val="auto"/>
          <w:sz w:val="22"/>
          <w:szCs w:val="22"/>
        </w:rPr>
        <w:t>a number of</w:t>
      </w:r>
      <w:proofErr w:type="gramEnd"/>
      <w:r>
        <w:rPr>
          <w:color w:val="auto"/>
          <w:sz w:val="22"/>
          <w:szCs w:val="22"/>
        </w:rPr>
        <w:t xml:space="preserve"> other set payments to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will be in place as follows. An additional five </w:t>
      </w:r>
      <w:proofErr w:type="gramStart"/>
      <w:r>
        <w:rPr>
          <w:color w:val="auto"/>
          <w:sz w:val="22"/>
          <w:szCs w:val="22"/>
        </w:rPr>
        <w:t>weeks</w:t>
      </w:r>
      <w:proofErr w:type="gramEnd"/>
      <w:r>
        <w:rPr>
          <w:color w:val="auto"/>
          <w:sz w:val="22"/>
          <w:szCs w:val="22"/>
        </w:rPr>
        <w:t xml:space="preserve"> allowance will be paid in a year these will be:</w:t>
      </w:r>
    </w:p>
    <w:p w14:paraId="0C6C3F00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2FB9943B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 a child’s birthday</w:t>
      </w:r>
    </w:p>
    <w:p w14:paraId="7D785BDE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December for religious festivals</w:t>
      </w:r>
    </w:p>
    <w:p w14:paraId="0D695BF2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Two weeks allowance will be paid in June to cover the extra expenditure incurred during the school holidays</w:t>
      </w:r>
    </w:p>
    <w:p w14:paraId="1DF915FA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further week’s allowance will be paid in September to contribute towards expenditure over the year for items such as school trips and extra-curricular activities.</w:t>
      </w:r>
    </w:p>
    <w:p w14:paraId="77CCE119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09E46EA7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Other Payments</w:t>
      </w:r>
    </w:p>
    <w:p w14:paraId="1B75A5CE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0B669EF7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 amount will be paid to purchase basic equipment when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become approved.  This will be paid on a sliding scale depending on the age and number of children for whom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are approved.  It is expected that the wear, </w:t>
      </w:r>
      <w:proofErr w:type="gramStart"/>
      <w:r>
        <w:rPr>
          <w:color w:val="auto"/>
          <w:sz w:val="22"/>
          <w:szCs w:val="22"/>
        </w:rPr>
        <w:t>tear</w:t>
      </w:r>
      <w:proofErr w:type="gramEnd"/>
      <w:r>
        <w:rPr>
          <w:color w:val="auto"/>
          <w:sz w:val="22"/>
          <w:szCs w:val="22"/>
        </w:rPr>
        <w:t xml:space="preserve"> and replacement costs will be covered from allowances.</w:t>
      </w:r>
    </w:p>
    <w:p w14:paraId="7AED1603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4725857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children become accommodated on an emergency </w:t>
      </w:r>
      <w:proofErr w:type="gramStart"/>
      <w:r>
        <w:rPr>
          <w:color w:val="auto"/>
          <w:sz w:val="22"/>
          <w:szCs w:val="22"/>
        </w:rPr>
        <w:t>basis</w:t>
      </w:r>
      <w:proofErr w:type="gramEnd"/>
      <w:r>
        <w:rPr>
          <w:color w:val="auto"/>
          <w:sz w:val="22"/>
          <w:szCs w:val="22"/>
        </w:rPr>
        <w:t xml:space="preserve"> they will often not have the basic necessities such as nightwear, underwear etc. a grant of £150.00 will be paid at the start of each placement to take account of the extra costs involved in ensuring basic needs are met at the initial stages of the placement.</w:t>
      </w:r>
    </w:p>
    <w:p w14:paraId="61B3E722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4DB6E1FC" w14:textId="77777777" w:rsidR="002465FF" w:rsidRPr="006C3990" w:rsidRDefault="002465FF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  <w:r w:rsidRPr="006C3990">
        <w:rPr>
          <w:b/>
          <w:color w:val="4472C4" w:themeColor="accent1"/>
          <w:sz w:val="22"/>
          <w:szCs w:val="22"/>
          <w:u w:val="single"/>
        </w:rPr>
        <w:t xml:space="preserve">Payments to a Provider </w:t>
      </w:r>
      <w:r>
        <w:rPr>
          <w:b/>
          <w:color w:val="4472C4" w:themeColor="accent1"/>
          <w:sz w:val="22"/>
          <w:szCs w:val="22"/>
          <w:u w:val="single"/>
        </w:rPr>
        <w:t>U</w:t>
      </w:r>
      <w:r w:rsidRPr="006C3990">
        <w:rPr>
          <w:b/>
          <w:color w:val="4472C4" w:themeColor="accent1"/>
          <w:sz w:val="22"/>
          <w:szCs w:val="22"/>
          <w:u w:val="single"/>
        </w:rPr>
        <w:t>ndertaking Short Break Placements</w:t>
      </w:r>
    </w:p>
    <w:p w14:paraId="7C086A31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428"/>
      </w:tblGrid>
      <w:tr w:rsidR="002465FF" w14:paraId="24765231" w14:textId="77777777" w:rsidTr="00980E9C">
        <w:tc>
          <w:tcPr>
            <w:tcW w:w="4320" w:type="dxa"/>
          </w:tcPr>
          <w:p w14:paraId="69DEDE59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4428" w:type="dxa"/>
          </w:tcPr>
          <w:p w14:paraId="2604E29C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Payment</w:t>
            </w:r>
          </w:p>
        </w:tc>
      </w:tr>
      <w:tr w:rsidR="002465FF" w14:paraId="643E83DF" w14:textId="77777777" w:rsidTr="00980E9C">
        <w:tc>
          <w:tcPr>
            <w:tcW w:w="4320" w:type="dxa"/>
          </w:tcPr>
          <w:p w14:paraId="6A3BDB45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 to 4 hours</w:t>
            </w:r>
          </w:p>
        </w:tc>
        <w:tc>
          <w:tcPr>
            <w:tcW w:w="4428" w:type="dxa"/>
          </w:tcPr>
          <w:p w14:paraId="1557CC1F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 w:rsidRPr="00FA305F">
              <w:rPr>
                <w:color w:val="auto"/>
                <w:sz w:val="22"/>
                <w:szCs w:val="22"/>
              </w:rPr>
              <w:t>£15.00</w:t>
            </w:r>
          </w:p>
        </w:tc>
      </w:tr>
      <w:tr w:rsidR="002465FF" w14:paraId="44977440" w14:textId="77777777" w:rsidTr="00980E9C">
        <w:tc>
          <w:tcPr>
            <w:tcW w:w="4320" w:type="dxa"/>
          </w:tcPr>
          <w:p w14:paraId="4D55EE35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 w:rsidRPr="00FA305F">
              <w:rPr>
                <w:color w:val="auto"/>
                <w:sz w:val="22"/>
                <w:szCs w:val="22"/>
              </w:rPr>
              <w:t xml:space="preserve">Over </w:t>
            </w:r>
            <w:r>
              <w:rPr>
                <w:color w:val="auto"/>
                <w:sz w:val="22"/>
                <w:szCs w:val="22"/>
              </w:rPr>
              <w:t>4 hours (simple)</w:t>
            </w:r>
          </w:p>
        </w:tc>
        <w:tc>
          <w:tcPr>
            <w:tcW w:w="4428" w:type="dxa"/>
          </w:tcPr>
          <w:p w14:paraId="74A04C2E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£22.75</w:t>
            </w:r>
          </w:p>
        </w:tc>
      </w:tr>
      <w:tr w:rsidR="002465FF" w14:paraId="71E371AF" w14:textId="77777777" w:rsidTr="00980E9C">
        <w:tc>
          <w:tcPr>
            <w:tcW w:w="4320" w:type="dxa"/>
          </w:tcPr>
          <w:p w14:paraId="015398B1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Over 4 hours (complex)</w:t>
            </w:r>
          </w:p>
        </w:tc>
        <w:tc>
          <w:tcPr>
            <w:tcW w:w="4428" w:type="dxa"/>
          </w:tcPr>
          <w:p w14:paraId="7F155ED1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£40.00</w:t>
            </w:r>
          </w:p>
        </w:tc>
      </w:tr>
      <w:tr w:rsidR="002465FF" w14:paraId="7DAD67BA" w14:textId="77777777" w:rsidTr="00980E9C">
        <w:tc>
          <w:tcPr>
            <w:tcW w:w="4320" w:type="dxa"/>
          </w:tcPr>
          <w:p w14:paraId="3D8D3266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1-4 days/nights</w:t>
            </w:r>
          </w:p>
        </w:tc>
        <w:tc>
          <w:tcPr>
            <w:tcW w:w="4428" w:type="dxa"/>
          </w:tcPr>
          <w:p w14:paraId="6CD33537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£30.00</w:t>
            </w:r>
          </w:p>
        </w:tc>
      </w:tr>
    </w:tbl>
    <w:p w14:paraId="00714861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4F263D1" w14:textId="1A014ED3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When the short break period is over 4 days/night the provider should be paid the appropriate foster care allowance in accordance with the level and age of the child. Either of the following allowances should be chosen:</w:t>
      </w:r>
    </w:p>
    <w:p w14:paraId="31EC13B5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1771"/>
        <w:gridCol w:w="1771"/>
        <w:gridCol w:w="1771"/>
        <w:gridCol w:w="1772"/>
      </w:tblGrid>
      <w:tr w:rsidR="002465FF" w14:paraId="4F52DB60" w14:textId="77777777" w:rsidTr="00980E9C">
        <w:tc>
          <w:tcPr>
            <w:tcW w:w="1663" w:type="dxa"/>
          </w:tcPr>
          <w:p w14:paraId="48BCD05F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Payment</w:t>
            </w:r>
          </w:p>
        </w:tc>
        <w:tc>
          <w:tcPr>
            <w:tcW w:w="1771" w:type="dxa"/>
          </w:tcPr>
          <w:p w14:paraId="0E92A4E5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2ACC8EDA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0-4</w:t>
            </w:r>
          </w:p>
        </w:tc>
        <w:tc>
          <w:tcPr>
            <w:tcW w:w="1771" w:type="dxa"/>
          </w:tcPr>
          <w:p w14:paraId="04911ABD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4DBB7A75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5-10</w:t>
            </w:r>
          </w:p>
        </w:tc>
        <w:tc>
          <w:tcPr>
            <w:tcW w:w="1771" w:type="dxa"/>
          </w:tcPr>
          <w:p w14:paraId="2C55C461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715B89F6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11-15</w:t>
            </w:r>
          </w:p>
        </w:tc>
        <w:tc>
          <w:tcPr>
            <w:tcW w:w="1772" w:type="dxa"/>
          </w:tcPr>
          <w:p w14:paraId="5FC8A291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2F118CCA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16+</w:t>
            </w:r>
          </w:p>
        </w:tc>
      </w:tr>
      <w:tr w:rsidR="002465FF" w14:paraId="7DD27C2D" w14:textId="77777777" w:rsidTr="00980E9C">
        <w:tc>
          <w:tcPr>
            <w:tcW w:w="1663" w:type="dxa"/>
          </w:tcPr>
          <w:p w14:paraId="38B6E25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Level 1-3 over 4 days/nights</w:t>
            </w:r>
          </w:p>
        </w:tc>
        <w:tc>
          <w:tcPr>
            <w:tcW w:w="1771" w:type="dxa"/>
          </w:tcPr>
          <w:p w14:paraId="5B16161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95A858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£127.59</w:t>
            </w:r>
          </w:p>
        </w:tc>
        <w:tc>
          <w:tcPr>
            <w:tcW w:w="1771" w:type="dxa"/>
          </w:tcPr>
          <w:p w14:paraId="20C1CB6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45A551B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£145.24</w:t>
            </w:r>
          </w:p>
        </w:tc>
        <w:tc>
          <w:tcPr>
            <w:tcW w:w="1771" w:type="dxa"/>
          </w:tcPr>
          <w:p w14:paraId="723B9EE8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744C1F8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£180.93</w:t>
            </w:r>
          </w:p>
        </w:tc>
        <w:tc>
          <w:tcPr>
            <w:tcW w:w="1772" w:type="dxa"/>
          </w:tcPr>
          <w:p w14:paraId="2762FBAD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1B5DF025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£220.05</w:t>
            </w:r>
          </w:p>
        </w:tc>
      </w:tr>
      <w:tr w:rsidR="002465FF" w14:paraId="4743422B" w14:textId="77777777" w:rsidTr="00980E9C">
        <w:tc>
          <w:tcPr>
            <w:tcW w:w="1663" w:type="dxa"/>
          </w:tcPr>
          <w:p w14:paraId="0EF2C82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Level 4 over 4 days/nights</w:t>
            </w:r>
          </w:p>
        </w:tc>
        <w:tc>
          <w:tcPr>
            <w:tcW w:w="1771" w:type="dxa"/>
          </w:tcPr>
          <w:p w14:paraId="12F5591C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696851F3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£191.38</w:t>
            </w:r>
          </w:p>
        </w:tc>
        <w:tc>
          <w:tcPr>
            <w:tcW w:w="1771" w:type="dxa"/>
          </w:tcPr>
          <w:p w14:paraId="621CBBC1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035BCB36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£218.00</w:t>
            </w:r>
          </w:p>
        </w:tc>
        <w:tc>
          <w:tcPr>
            <w:tcW w:w="1771" w:type="dxa"/>
          </w:tcPr>
          <w:p w14:paraId="738F7FE6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632A9DFA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£271.39</w:t>
            </w:r>
          </w:p>
        </w:tc>
        <w:tc>
          <w:tcPr>
            <w:tcW w:w="1772" w:type="dxa"/>
          </w:tcPr>
          <w:p w14:paraId="74FB70BC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6D20D23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£330.07</w:t>
            </w:r>
          </w:p>
          <w:p w14:paraId="1F2E1E0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7A4E51F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29AB9BF1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378A4857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Where a child whose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are Level 4 goes to a short break placement for a period exceeding one week the Level 4 foster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 fee (£300.00) should be paid to the provider. If the provider is already in receipt of a foster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 fee of £300.00 then there is no additional payment to be made. If the provider is in receipt of any other amount of foster </w:t>
      </w:r>
      <w:proofErr w:type="gramStart"/>
      <w:r>
        <w:rPr>
          <w:color w:val="auto"/>
          <w:sz w:val="22"/>
          <w:szCs w:val="22"/>
        </w:rPr>
        <w:t>fee</w:t>
      </w:r>
      <w:proofErr w:type="gramEnd"/>
      <w:r>
        <w:rPr>
          <w:color w:val="auto"/>
          <w:sz w:val="22"/>
          <w:szCs w:val="22"/>
        </w:rPr>
        <w:t xml:space="preserve"> then the difference should be paid as follows:</w:t>
      </w:r>
    </w:p>
    <w:p w14:paraId="4F05F8A3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465FF" w14:paraId="255FE1EF" w14:textId="77777777" w:rsidTr="00980E9C">
        <w:tc>
          <w:tcPr>
            <w:tcW w:w="4428" w:type="dxa"/>
          </w:tcPr>
          <w:p w14:paraId="3320668C" w14:textId="77777777" w:rsidR="002465FF" w:rsidRPr="00710779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Allowance</w:t>
            </w:r>
          </w:p>
        </w:tc>
        <w:tc>
          <w:tcPr>
            <w:tcW w:w="4428" w:type="dxa"/>
          </w:tcPr>
          <w:p w14:paraId="7D0AE0D2" w14:textId="77777777" w:rsidR="002465FF" w:rsidRPr="00710779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Difference</w:t>
            </w:r>
          </w:p>
        </w:tc>
      </w:tr>
      <w:tr w:rsidR="002465FF" w14:paraId="18E51044" w14:textId="77777777" w:rsidTr="00980E9C">
        <w:tc>
          <w:tcPr>
            <w:tcW w:w="4428" w:type="dxa"/>
          </w:tcPr>
          <w:p w14:paraId="6A6B5B3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Short Break Fee Level 4 over 1 week </w:t>
            </w:r>
          </w:p>
          <w:p w14:paraId="33978BE6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£50</w:t>
            </w:r>
          </w:p>
        </w:tc>
        <w:tc>
          <w:tcPr>
            <w:tcW w:w="4428" w:type="dxa"/>
          </w:tcPr>
          <w:p w14:paraId="57DEC98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3 – 3 or more children</w:t>
            </w:r>
          </w:p>
        </w:tc>
      </w:tr>
      <w:tr w:rsidR="002465FF" w14:paraId="5867AE35" w14:textId="77777777" w:rsidTr="00980E9C">
        <w:tc>
          <w:tcPr>
            <w:tcW w:w="4428" w:type="dxa"/>
          </w:tcPr>
          <w:p w14:paraId="26ADAF3C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Short Break Fee Level 4 over 1 </w:t>
            </w:r>
            <w:proofErr w:type="gramStart"/>
            <w:r>
              <w:rPr>
                <w:color w:val="auto"/>
                <w:sz w:val="22"/>
                <w:szCs w:val="22"/>
              </w:rPr>
              <w:t>week  £</w:t>
            </w:r>
            <w:proofErr w:type="gramEnd"/>
            <w:r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4428" w:type="dxa"/>
          </w:tcPr>
          <w:p w14:paraId="702862EA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3 – 1 or 2 children</w:t>
            </w:r>
          </w:p>
        </w:tc>
      </w:tr>
      <w:tr w:rsidR="002465FF" w14:paraId="25AAB5A8" w14:textId="77777777" w:rsidTr="00980E9C">
        <w:tc>
          <w:tcPr>
            <w:tcW w:w="4428" w:type="dxa"/>
          </w:tcPr>
          <w:p w14:paraId="1C930332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Fee Level 4 over 1 week £125</w:t>
            </w:r>
          </w:p>
        </w:tc>
        <w:tc>
          <w:tcPr>
            <w:tcW w:w="4428" w:type="dxa"/>
          </w:tcPr>
          <w:p w14:paraId="4EEE43C5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2 – 3 or more children</w:t>
            </w:r>
          </w:p>
        </w:tc>
      </w:tr>
      <w:tr w:rsidR="002465FF" w14:paraId="07C0E99C" w14:textId="77777777" w:rsidTr="00980E9C">
        <w:tc>
          <w:tcPr>
            <w:tcW w:w="4428" w:type="dxa"/>
          </w:tcPr>
          <w:p w14:paraId="2107C6C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Fee Level 4 over 1 week £150</w:t>
            </w:r>
          </w:p>
        </w:tc>
        <w:tc>
          <w:tcPr>
            <w:tcW w:w="4428" w:type="dxa"/>
          </w:tcPr>
          <w:p w14:paraId="426069A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2 – 1 or 2 children</w:t>
            </w:r>
          </w:p>
        </w:tc>
      </w:tr>
      <w:tr w:rsidR="002465FF" w14:paraId="62EBD6DB" w14:textId="77777777" w:rsidTr="00980E9C">
        <w:tc>
          <w:tcPr>
            <w:tcW w:w="4428" w:type="dxa"/>
          </w:tcPr>
          <w:p w14:paraId="0ECEA7E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Fee Level 4 over 1 week £300</w:t>
            </w:r>
          </w:p>
        </w:tc>
        <w:tc>
          <w:tcPr>
            <w:tcW w:w="4428" w:type="dxa"/>
          </w:tcPr>
          <w:p w14:paraId="290C963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Not in receipt of any fee.</w:t>
            </w:r>
          </w:p>
        </w:tc>
      </w:tr>
    </w:tbl>
    <w:p w14:paraId="0C9E7AB6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36D641DA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short break is not the same as babysitting which is </w:t>
      </w:r>
      <w:proofErr w:type="spellStart"/>
      <w:r>
        <w:rPr>
          <w:color w:val="auto"/>
          <w:sz w:val="22"/>
          <w:szCs w:val="22"/>
        </w:rPr>
        <w:t>organised</w:t>
      </w:r>
      <w:proofErr w:type="spellEnd"/>
      <w:r>
        <w:rPr>
          <w:color w:val="auto"/>
          <w:sz w:val="22"/>
          <w:szCs w:val="22"/>
        </w:rPr>
        <w:t xml:space="preserve"> and paid for by the foster </w:t>
      </w:r>
      <w:proofErr w:type="spellStart"/>
      <w:r>
        <w:rPr>
          <w:color w:val="auto"/>
          <w:sz w:val="22"/>
          <w:szCs w:val="22"/>
        </w:rPr>
        <w:t>carer</w:t>
      </w:r>
      <w:proofErr w:type="spellEnd"/>
      <w:r>
        <w:rPr>
          <w:color w:val="auto"/>
          <w:sz w:val="22"/>
          <w:szCs w:val="22"/>
        </w:rPr>
        <w:t xml:space="preserve">. Only approved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provide short breaks which are matched and </w:t>
      </w:r>
      <w:proofErr w:type="spellStart"/>
      <w:r>
        <w:rPr>
          <w:color w:val="auto"/>
          <w:sz w:val="22"/>
          <w:szCs w:val="22"/>
        </w:rPr>
        <w:t>organised</w:t>
      </w:r>
      <w:proofErr w:type="spellEnd"/>
      <w:r>
        <w:rPr>
          <w:color w:val="auto"/>
          <w:sz w:val="22"/>
          <w:szCs w:val="22"/>
        </w:rPr>
        <w:t xml:space="preserve"> by the Family Placement Team.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do not </w:t>
      </w:r>
      <w:proofErr w:type="spellStart"/>
      <w:r>
        <w:rPr>
          <w:color w:val="auto"/>
          <w:sz w:val="22"/>
          <w:szCs w:val="22"/>
        </w:rPr>
        <w:t>organise</w:t>
      </w:r>
      <w:proofErr w:type="spellEnd"/>
      <w:r>
        <w:rPr>
          <w:color w:val="auto"/>
          <w:sz w:val="22"/>
          <w:szCs w:val="22"/>
        </w:rPr>
        <w:t xml:space="preserve"> short breaks with other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>.</w:t>
      </w:r>
    </w:p>
    <w:p w14:paraId="54A928B4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88B596E" w14:textId="77777777" w:rsidR="002465FF" w:rsidRPr="003B50BD" w:rsidRDefault="002465FF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  <w:r w:rsidRPr="003B50BD">
        <w:rPr>
          <w:b/>
          <w:color w:val="4472C4" w:themeColor="accent1"/>
          <w:sz w:val="22"/>
          <w:szCs w:val="22"/>
          <w:u w:val="single"/>
        </w:rPr>
        <w:t>Income Tax</w:t>
      </w:r>
    </w:p>
    <w:p w14:paraId="14F2BB36" w14:textId="77777777" w:rsidR="002465FF" w:rsidRDefault="002465FF" w:rsidP="002465FF">
      <w:pPr>
        <w:spacing w:after="0" w:line="240" w:lineRule="auto"/>
        <w:rPr>
          <w:b/>
          <w:i/>
          <w:color w:val="auto"/>
          <w:sz w:val="22"/>
          <w:szCs w:val="22"/>
        </w:rPr>
      </w:pPr>
    </w:p>
    <w:p w14:paraId="3F04CFF9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Inverclyde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are considered as self-employed and as such are required to register with Her Majesty’s Revenue and Customs (HMRC). Foster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are not employees of Inverclyde Council. All income </w:t>
      </w:r>
      <w:proofErr w:type="gramStart"/>
      <w:r>
        <w:rPr>
          <w:color w:val="auto"/>
          <w:sz w:val="22"/>
          <w:szCs w:val="22"/>
        </w:rPr>
        <w:t>foster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carers</w:t>
      </w:r>
      <w:proofErr w:type="spellEnd"/>
      <w:r>
        <w:rPr>
          <w:color w:val="auto"/>
          <w:sz w:val="22"/>
          <w:szCs w:val="22"/>
        </w:rPr>
        <w:t xml:space="preserve"> receive has to be declared.</w:t>
      </w:r>
    </w:p>
    <w:p w14:paraId="36AB56A1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662729CA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The Fostering Network provides workshops on Income Tax and National Insurance which are very helpful and worthwhile attending. </w:t>
      </w:r>
    </w:p>
    <w:p w14:paraId="077B194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8858C0B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HMRC has produced a self-instruction on-line pack through the following link: </w:t>
      </w:r>
      <w:hyperlink r:id="rId5" w:history="1">
        <w:r w:rsidRPr="002C1F7D">
          <w:rPr>
            <w:rStyle w:val="Hyperlink"/>
            <w:color w:val="4472C4" w:themeColor="accent1"/>
            <w:sz w:val="22"/>
            <w:szCs w:val="22"/>
          </w:rPr>
          <w:t>www.gov.uk/self-assessment-tax-returns</w:t>
        </w:r>
      </w:hyperlink>
      <w:r>
        <w:rPr>
          <w:color w:val="auto"/>
          <w:sz w:val="22"/>
          <w:szCs w:val="22"/>
        </w:rPr>
        <w:t>.</w:t>
      </w:r>
    </w:p>
    <w:p w14:paraId="565A2DE7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5C9FE1B0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CA216EB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1562A7B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473AA7E4" w14:textId="77777777" w:rsidR="001F7585" w:rsidRDefault="00000000"/>
    <w:sectPr w:rsidR="001F7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B1"/>
    <w:multiLevelType w:val="hybridMultilevel"/>
    <w:tmpl w:val="4FE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2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44"/>
    <w:rsid w:val="00044D91"/>
    <w:rsid w:val="00126C69"/>
    <w:rsid w:val="002465FF"/>
    <w:rsid w:val="00416C02"/>
    <w:rsid w:val="00474844"/>
    <w:rsid w:val="005B54AE"/>
    <w:rsid w:val="005E25D1"/>
    <w:rsid w:val="006312E5"/>
    <w:rsid w:val="00931192"/>
    <w:rsid w:val="009D17D4"/>
    <w:rsid w:val="009F4538"/>
    <w:rsid w:val="00A72388"/>
    <w:rsid w:val="00D24BDD"/>
    <w:rsid w:val="00E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F879"/>
  <w15:chartTrackingRefBased/>
  <w15:docId w15:val="{0D0AC851-76FE-406F-AF34-885D8C98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FF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2465FF"/>
    <w:pPr>
      <w:ind w:left="720"/>
      <w:contextualSpacing/>
    </w:pPr>
  </w:style>
  <w:style w:type="table" w:styleId="TableGrid">
    <w:name w:val="Table Grid"/>
    <w:basedOn w:val="TableNormal"/>
    <w:uiPriority w:val="1"/>
    <w:rsid w:val="002465F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46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self-assessment-tax-retur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Davidson</dc:creator>
  <cp:keywords/>
  <dc:description/>
  <cp:lastModifiedBy>Sara Davidson</cp:lastModifiedBy>
  <cp:revision>2</cp:revision>
  <dcterms:created xsi:type="dcterms:W3CDTF">2023-04-27T08:19:00Z</dcterms:created>
  <dcterms:modified xsi:type="dcterms:W3CDTF">2023-04-27T08:19:00Z</dcterms:modified>
</cp:coreProperties>
</file>