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C77F" w14:textId="09D071D2" w:rsidR="001A6FF0" w:rsidRDefault="00887ED0" w:rsidP="00B20019">
      <w:pPr>
        <w:rPr>
          <w:b/>
        </w:rPr>
      </w:pPr>
      <w:bookmarkStart w:id="0" w:name="_Hlk137108907"/>
      <w:r w:rsidRPr="00887ED0">
        <w:rPr>
          <w:b/>
          <w:noProof/>
        </w:rPr>
        <mc:AlternateContent>
          <mc:Choice Requires="wps">
            <w:drawing>
              <wp:anchor distT="45720" distB="45720" distL="114300" distR="114300" simplePos="0" relativeHeight="251670528" behindDoc="0" locked="0" layoutInCell="1" allowOverlap="1" wp14:anchorId="1CAB309A" wp14:editId="15BB4CCB">
                <wp:simplePos x="0" y="0"/>
                <wp:positionH relativeFrom="column">
                  <wp:posOffset>2695575</wp:posOffset>
                </wp:positionH>
                <wp:positionV relativeFrom="paragraph">
                  <wp:posOffset>8543925</wp:posOffset>
                </wp:positionV>
                <wp:extent cx="329565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04800"/>
                        </a:xfrm>
                        <a:prstGeom prst="rect">
                          <a:avLst/>
                        </a:prstGeom>
                        <a:noFill/>
                        <a:ln w="9525">
                          <a:noFill/>
                          <a:miter lim="800000"/>
                          <a:headEnd/>
                          <a:tailEnd/>
                        </a:ln>
                      </wps:spPr>
                      <wps:txbx>
                        <w:txbxContent>
                          <w:p w14:paraId="0318285E" w14:textId="6EFAC836" w:rsidR="00887ED0" w:rsidRPr="00887ED0" w:rsidRDefault="00887ED0">
                            <w:pPr>
                              <w:rPr>
                                <w:b/>
                                <w:bCs/>
                                <w:color w:val="FFFFFF" w:themeColor="background1"/>
                              </w:rPr>
                            </w:pPr>
                            <w:r w:rsidRPr="00887ED0">
                              <w:rPr>
                                <w:b/>
                                <w:bCs/>
                                <w:color w:val="FFFFFF" w:themeColor="background1"/>
                              </w:rPr>
                              <w:t>Housing Options and Homelessness Advice Service</w:t>
                            </w:r>
                          </w:p>
                          <w:p w14:paraId="25DFB2B5" w14:textId="11D7A399" w:rsidR="00887ED0" w:rsidRDefault="00887ED0"/>
                          <w:p w14:paraId="18ABCFE5" w14:textId="77777777" w:rsidR="00887ED0" w:rsidRDefault="00887E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B309A" id="_x0000_t202" coordsize="21600,21600" o:spt="202" path="m,l,21600r21600,l21600,xe">
                <v:stroke joinstyle="miter"/>
                <v:path gradientshapeok="t" o:connecttype="rect"/>
              </v:shapetype>
              <v:shape id="Text Box 2" o:spid="_x0000_s1026" type="#_x0000_t202" style="position:absolute;margin-left:212.25pt;margin-top:672.75pt;width:259.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C1+A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" filled="f" stroked="f">
                <v:textbox>
                  <w:txbxContent>
                    <w:p w14:paraId="0318285E" w14:textId="6EFAC836" w:rsidR="00887ED0" w:rsidRPr="00887ED0" w:rsidRDefault="00887ED0">
                      <w:pPr>
                        <w:rPr>
                          <w:b/>
                          <w:bCs/>
                          <w:color w:val="FFFFFF" w:themeColor="background1"/>
                        </w:rPr>
                      </w:pPr>
                      <w:r w:rsidRPr="00887ED0">
                        <w:rPr>
                          <w:b/>
                          <w:bCs/>
                          <w:color w:val="FFFFFF" w:themeColor="background1"/>
                        </w:rPr>
                        <w:t>Housing Options and Homelessness Advice Service</w:t>
                      </w:r>
                    </w:p>
                    <w:p w14:paraId="25DFB2B5" w14:textId="11D7A399" w:rsidR="00887ED0" w:rsidRDefault="00887ED0"/>
                    <w:p w14:paraId="18ABCFE5" w14:textId="77777777" w:rsidR="00887ED0" w:rsidRDefault="00887ED0"/>
                  </w:txbxContent>
                </v:textbox>
                <w10:wrap type="square"/>
              </v:shape>
            </w:pict>
          </mc:Fallback>
        </mc:AlternateContent>
      </w:r>
      <w:r w:rsidR="008007B1">
        <w:rPr>
          <w:b/>
          <w:noProof/>
          <w:lang w:eastAsia="en-GB"/>
        </w:rPr>
        <w:drawing>
          <wp:anchor distT="0" distB="0" distL="114300" distR="114300" simplePos="0" relativeHeight="251660288" behindDoc="1" locked="0" layoutInCell="1" allowOverlap="1" wp14:anchorId="797BE774" wp14:editId="216B52AA">
            <wp:simplePos x="0" y="0"/>
            <wp:positionH relativeFrom="column">
              <wp:posOffset>-393700</wp:posOffset>
            </wp:positionH>
            <wp:positionV relativeFrom="paragraph">
              <wp:posOffset>0</wp:posOffset>
            </wp:positionV>
            <wp:extent cx="6636775" cy="9387645"/>
            <wp:effectExtent l="0" t="0" r="0" b="4445"/>
            <wp:wrapTight wrapText="bothSides">
              <wp:wrapPolygon edited="0">
                <wp:start x="0" y="0"/>
                <wp:lineTo x="0" y="21566"/>
                <wp:lineTo x="21515" y="21566"/>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lessness Service_A4_BLAN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6775" cy="9387645"/>
                    </a:xfrm>
                    <a:prstGeom prst="rect">
                      <a:avLst/>
                    </a:prstGeom>
                  </pic:spPr>
                </pic:pic>
              </a:graphicData>
            </a:graphic>
            <wp14:sizeRelH relativeFrom="page">
              <wp14:pctWidth>0</wp14:pctWidth>
            </wp14:sizeRelH>
            <wp14:sizeRelV relativeFrom="page">
              <wp14:pctHeight>0</wp14:pctHeight>
            </wp14:sizeRelV>
          </wp:anchor>
        </w:drawing>
      </w:r>
      <w:r w:rsidR="0056492B" w:rsidRPr="0056492B">
        <w:rPr>
          <w:b/>
          <w:noProof/>
          <w:lang w:eastAsia="en-GB"/>
        </w:rPr>
        <mc:AlternateContent>
          <mc:Choice Requires="wps">
            <w:drawing>
              <wp:anchor distT="45720" distB="45720" distL="114300" distR="114300" simplePos="0" relativeHeight="251662336" behindDoc="0" locked="0" layoutInCell="1" allowOverlap="1" wp14:anchorId="2D4F119C" wp14:editId="4D635CF2">
                <wp:simplePos x="0" y="0"/>
                <wp:positionH relativeFrom="column">
                  <wp:posOffset>63500</wp:posOffset>
                </wp:positionH>
                <wp:positionV relativeFrom="paragraph">
                  <wp:posOffset>5337175</wp:posOffset>
                </wp:positionV>
                <wp:extent cx="5815330" cy="4464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46405"/>
                        </a:xfrm>
                        <a:prstGeom prst="rect">
                          <a:avLst/>
                        </a:prstGeom>
                        <a:noFill/>
                        <a:ln w="9525">
                          <a:noFill/>
                          <a:miter lim="800000"/>
                          <a:headEnd/>
                          <a:tailEnd/>
                        </a:ln>
                      </wps:spPr>
                      <wps:txbx>
                        <w:txbxContent>
                          <w:p w14:paraId="15964C92" w14:textId="77777777" w:rsidR="0056492B" w:rsidRPr="0056492B" w:rsidRDefault="0056492B">
                            <w:pPr>
                              <w:rPr>
                                <w:b/>
                                <w:color w:val="FFFFFF" w:themeColor="background1"/>
                                <w:sz w:val="36"/>
                              </w:rPr>
                            </w:pPr>
                            <w:r w:rsidRPr="0056492B">
                              <w:rPr>
                                <w:b/>
                                <w:color w:val="FFFFFF" w:themeColor="background1"/>
                                <w:sz w:val="36"/>
                              </w:rPr>
                              <w:t>Rapid Rehousing Transition Plan - Annual Review 2022-23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F119C" id="_x0000_s1027" type="#_x0000_t202" style="position:absolute;margin-left:5pt;margin-top:420.25pt;width:457.9pt;height:3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" filled="f" stroked="f">
                <v:textbox>
                  <w:txbxContent>
                    <w:p w14:paraId="15964C92" w14:textId="77777777" w:rsidR="0056492B" w:rsidRPr="0056492B" w:rsidRDefault="0056492B">
                      <w:pPr>
                        <w:rPr>
                          <w:b/>
                          <w:color w:val="FFFFFF" w:themeColor="background1"/>
                          <w:sz w:val="36"/>
                        </w:rPr>
                      </w:pPr>
                      <w:r w:rsidRPr="0056492B">
                        <w:rPr>
                          <w:b/>
                          <w:color w:val="FFFFFF" w:themeColor="background1"/>
                          <w:sz w:val="36"/>
                        </w:rPr>
                        <w:t>Rapid Rehousing Transition Plan - Annual Review 2022-23</w:t>
                      </w:r>
                    </w:p>
                  </w:txbxContent>
                </v:textbox>
                <w10:wrap type="square"/>
              </v:shape>
            </w:pict>
          </mc:Fallback>
        </mc:AlternateContent>
      </w:r>
    </w:p>
    <w:p w14:paraId="4D541705" w14:textId="77777777" w:rsidR="001A6FF0" w:rsidRPr="0084169B" w:rsidRDefault="001A6FF0" w:rsidP="0084169B">
      <w:pPr>
        <w:jc w:val="both"/>
        <w:rPr>
          <w:b/>
        </w:rPr>
      </w:pPr>
    </w:p>
    <w:p w14:paraId="2E040A63" w14:textId="432D269A" w:rsidR="00941E7D" w:rsidRPr="0084169B" w:rsidRDefault="00621CA0">
      <w:pPr>
        <w:pStyle w:val="ListParagraph"/>
        <w:numPr>
          <w:ilvl w:val="0"/>
          <w:numId w:val="10"/>
        </w:numPr>
        <w:jc w:val="both"/>
        <w:rPr>
          <w:b/>
        </w:rPr>
      </w:pPr>
      <w:r w:rsidRPr="0084169B">
        <w:rPr>
          <w:b/>
        </w:rPr>
        <w:t>Summary of</w:t>
      </w:r>
      <w:r w:rsidR="000F708F" w:rsidRPr="0084169B">
        <w:rPr>
          <w:b/>
        </w:rPr>
        <w:t xml:space="preserve"> year </w:t>
      </w:r>
      <w:r w:rsidR="00011E1B" w:rsidRPr="0084169B">
        <w:rPr>
          <w:b/>
        </w:rPr>
        <w:t>four</w:t>
      </w:r>
      <w:r w:rsidRPr="0084169B">
        <w:rPr>
          <w:b/>
        </w:rPr>
        <w:t xml:space="preserve"> </w:t>
      </w:r>
      <w:r w:rsidR="000F708F" w:rsidRPr="0084169B">
        <w:rPr>
          <w:b/>
        </w:rPr>
        <w:t>progress</w:t>
      </w:r>
    </w:p>
    <w:p w14:paraId="362EBA5D" w14:textId="77777777" w:rsidR="005F564E" w:rsidRPr="0084169B" w:rsidRDefault="005F564E" w:rsidP="0084169B">
      <w:pPr>
        <w:pStyle w:val="ListParagraph"/>
        <w:jc w:val="both"/>
        <w:rPr>
          <w:b/>
        </w:rPr>
      </w:pPr>
    </w:p>
    <w:p w14:paraId="6C0F3D32" w14:textId="7C0B07BE" w:rsidR="00104D83" w:rsidRPr="0084169B" w:rsidRDefault="00B67368">
      <w:pPr>
        <w:pStyle w:val="ListParagraph"/>
        <w:numPr>
          <w:ilvl w:val="1"/>
          <w:numId w:val="14"/>
        </w:numPr>
        <w:jc w:val="both"/>
        <w:rPr>
          <w:b/>
        </w:rPr>
      </w:pPr>
      <w:r w:rsidRPr="0084169B">
        <w:tab/>
      </w:r>
      <w:r w:rsidR="00104D83" w:rsidRPr="0084169B">
        <w:t>A summar</w:t>
      </w:r>
      <w:r w:rsidR="00011E1B" w:rsidRPr="0084169B">
        <w:t>y of key highlights from the past year of</w:t>
      </w:r>
      <w:r w:rsidR="00104D83" w:rsidRPr="0084169B">
        <w:t xml:space="preserve"> Inverclyde’s RRTP include:</w:t>
      </w:r>
    </w:p>
    <w:p w14:paraId="4E350D71" w14:textId="77777777" w:rsidR="009C2FCD" w:rsidRPr="0084169B" w:rsidRDefault="009C2FCD" w:rsidP="0084169B">
      <w:pPr>
        <w:pStyle w:val="ListParagraph"/>
        <w:ind w:left="360"/>
        <w:jc w:val="both"/>
        <w:rPr>
          <w:b/>
        </w:rPr>
      </w:pPr>
    </w:p>
    <w:p w14:paraId="53490884" w14:textId="6A8CB6CD" w:rsidR="00534538" w:rsidRPr="0084169B" w:rsidRDefault="00123B3D" w:rsidP="0084169B">
      <w:pPr>
        <w:pStyle w:val="ListParagraph"/>
        <w:numPr>
          <w:ilvl w:val="0"/>
          <w:numId w:val="1"/>
        </w:numPr>
        <w:ind w:left="1080"/>
        <w:jc w:val="both"/>
      </w:pPr>
      <w:r w:rsidRPr="0084169B">
        <w:t>Significant g</w:t>
      </w:r>
      <w:r w:rsidR="00F4638A" w:rsidRPr="0084169B">
        <w:t xml:space="preserve">rowth of </w:t>
      </w:r>
      <w:r w:rsidRPr="0084169B">
        <w:t xml:space="preserve">the </w:t>
      </w:r>
      <w:r w:rsidR="00F4638A" w:rsidRPr="0084169B">
        <w:t>Hou</w:t>
      </w:r>
      <w:r w:rsidR="00F96887" w:rsidRPr="0084169B">
        <w:t>sing First model with</w:t>
      </w:r>
      <w:r w:rsidRPr="0084169B">
        <w:t xml:space="preserve"> a</w:t>
      </w:r>
      <w:r w:rsidR="00F96887" w:rsidRPr="0084169B">
        <w:t xml:space="preserve"> total of </w:t>
      </w:r>
      <w:r w:rsidR="004824F5">
        <w:t>41</w:t>
      </w:r>
      <w:r w:rsidR="00F106CA" w:rsidRPr="0084169B">
        <w:t xml:space="preserve"> individuals</w:t>
      </w:r>
      <w:r w:rsidR="007E65A0">
        <w:t xml:space="preserve"> </w:t>
      </w:r>
      <w:r w:rsidR="00F4638A" w:rsidRPr="0084169B">
        <w:t xml:space="preserve">being supported </w:t>
      </w:r>
      <w:r w:rsidR="004824F5">
        <w:t>by 31</w:t>
      </w:r>
      <w:r w:rsidR="004824F5" w:rsidRPr="004824F5">
        <w:rPr>
          <w:vertAlign w:val="superscript"/>
        </w:rPr>
        <w:t>st</w:t>
      </w:r>
      <w:r w:rsidR="004824F5">
        <w:t xml:space="preserve"> March 2023 </w:t>
      </w:r>
      <w:r w:rsidR="0022088A" w:rsidRPr="0084169B">
        <w:t>– 17 in Housing First tenancies and 3 with offers pending</w:t>
      </w:r>
      <w:r w:rsidR="00594D16" w:rsidRPr="0084169B">
        <w:t>,</w:t>
      </w:r>
    </w:p>
    <w:p w14:paraId="164F1DC3" w14:textId="1CA53BDA" w:rsidR="00F4638A" w:rsidRPr="0084169B" w:rsidRDefault="00534538" w:rsidP="0084169B">
      <w:pPr>
        <w:pStyle w:val="ListParagraph"/>
        <w:numPr>
          <w:ilvl w:val="0"/>
          <w:numId w:val="1"/>
        </w:numPr>
        <w:ind w:left="1080"/>
        <w:jc w:val="both"/>
      </w:pPr>
      <w:r w:rsidRPr="0084169B">
        <w:t>2</w:t>
      </w:r>
      <w:r w:rsidR="005014D5" w:rsidRPr="0084169B">
        <w:t>1</w:t>
      </w:r>
      <w:r w:rsidR="00F4638A" w:rsidRPr="0084169B">
        <w:t xml:space="preserve"> temporary furnished flats flipped to permanent accommodation</w:t>
      </w:r>
      <w:r w:rsidR="00594D16" w:rsidRPr="0084169B">
        <w:t>,</w:t>
      </w:r>
    </w:p>
    <w:p w14:paraId="611444CE" w14:textId="48A830CA" w:rsidR="00D95FCF" w:rsidRPr="0084169B" w:rsidRDefault="00594D16" w:rsidP="0084169B">
      <w:pPr>
        <w:pStyle w:val="ListParagraph"/>
        <w:numPr>
          <w:ilvl w:val="0"/>
          <w:numId w:val="1"/>
        </w:numPr>
        <w:ind w:left="1080"/>
        <w:jc w:val="both"/>
      </w:pPr>
      <w:r w:rsidRPr="0084169B">
        <w:t>a</w:t>
      </w:r>
      <w:r w:rsidR="0084347E" w:rsidRPr="0084169B">
        <w:t xml:space="preserve"> 10% decrease in the</w:t>
      </w:r>
      <w:r w:rsidR="00D95FCF" w:rsidRPr="0084169B">
        <w:t xml:space="preserve"> number of homeless applications</w:t>
      </w:r>
      <w:r w:rsidRPr="0084169B">
        <w:t>,</w:t>
      </w:r>
    </w:p>
    <w:p w14:paraId="24A31791" w14:textId="4083862C" w:rsidR="00594D16" w:rsidRPr="0084169B" w:rsidRDefault="007E65A0" w:rsidP="0084169B">
      <w:pPr>
        <w:pStyle w:val="ListParagraph"/>
        <w:numPr>
          <w:ilvl w:val="0"/>
          <w:numId w:val="1"/>
        </w:numPr>
        <w:ind w:left="1080"/>
        <w:jc w:val="both"/>
      </w:pPr>
      <w:r>
        <w:t>t</w:t>
      </w:r>
      <w:r w:rsidR="00D95FCF" w:rsidRPr="0084169B">
        <w:t xml:space="preserve">he number of people </w:t>
      </w:r>
      <w:r w:rsidR="00EB1376" w:rsidRPr="0084169B">
        <w:t xml:space="preserve">presenting as homeless on </w:t>
      </w:r>
      <w:r w:rsidR="00D95FCF" w:rsidRPr="0084169B">
        <w:t>leaving an institution i.e., prison, hospital etc</w:t>
      </w:r>
      <w:r w:rsidR="00594D16" w:rsidRPr="0084169B">
        <w:t>.</w:t>
      </w:r>
      <w:r w:rsidR="00D95FCF" w:rsidRPr="0084169B">
        <w:t xml:space="preserve"> reduced by 30%</w:t>
      </w:r>
      <w:r w:rsidR="00594D16" w:rsidRPr="0084169B">
        <w:t xml:space="preserve">, and </w:t>
      </w:r>
    </w:p>
    <w:p w14:paraId="3C75298A" w14:textId="6934E22B" w:rsidR="00594D16" w:rsidRPr="0084169B" w:rsidRDefault="00594D16" w:rsidP="0084169B">
      <w:pPr>
        <w:pStyle w:val="ListParagraph"/>
        <w:numPr>
          <w:ilvl w:val="0"/>
          <w:numId w:val="1"/>
        </w:numPr>
        <w:ind w:left="1080"/>
        <w:jc w:val="both"/>
      </w:pPr>
      <w:r w:rsidRPr="0084169B">
        <w:t xml:space="preserve">a 27% reduction in repeat homelessness, </w:t>
      </w:r>
    </w:p>
    <w:p w14:paraId="34DD8D67" w14:textId="0DE18297" w:rsidR="0084169B" w:rsidRPr="0084169B" w:rsidRDefault="007E65A0" w:rsidP="0084169B">
      <w:pPr>
        <w:pStyle w:val="ListParagraph"/>
        <w:numPr>
          <w:ilvl w:val="0"/>
          <w:numId w:val="1"/>
        </w:numPr>
        <w:ind w:left="1080"/>
        <w:jc w:val="both"/>
      </w:pPr>
      <w:r>
        <w:t>a</w:t>
      </w:r>
      <w:r w:rsidR="0084169B" w:rsidRPr="0084169B">
        <w:t xml:space="preserve"> 21% reduction in long-term homelessness with a management focus on cases open for more than 12 months, all of which were referred to the in-house support team</w:t>
      </w:r>
      <w:r w:rsidR="0084169B" w:rsidRPr="0084169B">
        <w:rPr>
          <w:color w:val="FF0000"/>
        </w:rPr>
        <w:t xml:space="preserve"> </w:t>
      </w:r>
    </w:p>
    <w:p w14:paraId="11141743" w14:textId="0EF28863" w:rsidR="0084169B" w:rsidRPr="0084169B" w:rsidRDefault="007E65A0" w:rsidP="0084169B">
      <w:pPr>
        <w:pStyle w:val="ListParagraph"/>
        <w:numPr>
          <w:ilvl w:val="0"/>
          <w:numId w:val="1"/>
        </w:numPr>
        <w:ind w:left="1080"/>
        <w:jc w:val="both"/>
      </w:pPr>
      <w:r>
        <w:t xml:space="preserve">a </w:t>
      </w:r>
      <w:r w:rsidR="0084169B" w:rsidRPr="0084169B">
        <w:t>36% reduction in the use of Unsuitable Accommodation with zero instances of using hotels and B&amp;B facilities over the past year,</w:t>
      </w:r>
    </w:p>
    <w:p w14:paraId="29F85899" w14:textId="6A8DC9A6" w:rsidR="0084169B" w:rsidRPr="0084169B" w:rsidRDefault="0084169B" w:rsidP="0084169B">
      <w:pPr>
        <w:pStyle w:val="ListParagraph"/>
        <w:numPr>
          <w:ilvl w:val="0"/>
          <w:numId w:val="1"/>
        </w:numPr>
        <w:ind w:left="1080"/>
        <w:jc w:val="both"/>
      </w:pPr>
      <w:r w:rsidRPr="0084169B">
        <w:t>14% of all social housing lets in the area went to homeless household</w:t>
      </w:r>
      <w:r w:rsidR="00CC0DEB">
        <w:t>s</w:t>
      </w:r>
      <w:r w:rsidR="007C65C2">
        <w:t xml:space="preserve">, up 3% since 2020. </w:t>
      </w:r>
    </w:p>
    <w:p w14:paraId="70125930" w14:textId="32D93BEC" w:rsidR="0084169B" w:rsidRDefault="00594D16" w:rsidP="009F57F8">
      <w:pPr>
        <w:jc w:val="both"/>
      </w:pPr>
      <w:r>
        <w:t xml:space="preserve">Key to the success </w:t>
      </w:r>
      <w:r w:rsidR="0084169B">
        <w:t xml:space="preserve">over the past year has been: </w:t>
      </w:r>
    </w:p>
    <w:p w14:paraId="7F7209D7" w14:textId="2F712B17" w:rsidR="0084169B" w:rsidRDefault="0084169B">
      <w:pPr>
        <w:pStyle w:val="ListParagraph"/>
        <w:numPr>
          <w:ilvl w:val="0"/>
          <w:numId w:val="21"/>
        </w:numPr>
        <w:jc w:val="both"/>
      </w:pPr>
      <w:r>
        <w:t>Design and i</w:t>
      </w:r>
      <w:r w:rsidRPr="0084169B">
        <w:t xml:space="preserve">mplementation of a two-year Change Programme, with a designated Change Lead recruited to drive forward a </w:t>
      </w:r>
      <w:r w:rsidR="003E57AF" w:rsidRPr="0084169B">
        <w:t>full-service</w:t>
      </w:r>
      <w:r w:rsidRPr="0084169B">
        <w:t xml:space="preserve"> </w:t>
      </w:r>
      <w:r w:rsidR="003E57AF" w:rsidRPr="0084169B">
        <w:t>redesign</w:t>
      </w:r>
      <w:r w:rsidR="003E57AF">
        <w:t>.</w:t>
      </w:r>
    </w:p>
    <w:p w14:paraId="39600BD2" w14:textId="36560AF7" w:rsidR="0084169B" w:rsidRPr="0084169B" w:rsidRDefault="0084169B">
      <w:pPr>
        <w:pStyle w:val="ListParagraph"/>
        <w:numPr>
          <w:ilvl w:val="0"/>
          <w:numId w:val="21"/>
        </w:numPr>
        <w:jc w:val="both"/>
      </w:pPr>
      <w:r w:rsidRPr="0084169B">
        <w:t xml:space="preserve">Engagement with previous and current households experiencing homelessness through joint working with local Community Care Forum, Your Voice, to better inform short term improvements and </w:t>
      </w:r>
      <w:r>
        <w:t xml:space="preserve">service </w:t>
      </w:r>
      <w:r w:rsidRPr="0084169B">
        <w:t>redesign.</w:t>
      </w:r>
    </w:p>
    <w:p w14:paraId="3FC193DF" w14:textId="4FB631CA" w:rsidR="0084169B" w:rsidRPr="0084169B" w:rsidRDefault="0084169B">
      <w:pPr>
        <w:pStyle w:val="ListParagraph"/>
        <w:numPr>
          <w:ilvl w:val="0"/>
          <w:numId w:val="21"/>
        </w:numPr>
        <w:jc w:val="both"/>
      </w:pPr>
      <w:r w:rsidRPr="0084169B">
        <w:t>Increasing focus on preventative work with the aim of rebranding as a Housing Options and Homelessness Advice Service</w:t>
      </w:r>
      <w:r w:rsidR="007E65A0">
        <w:t>.</w:t>
      </w:r>
    </w:p>
    <w:p w14:paraId="1F0AB1AE" w14:textId="0D0EEA6A" w:rsidR="0084169B" w:rsidRPr="0084169B" w:rsidRDefault="0084169B">
      <w:pPr>
        <w:pStyle w:val="ListParagraph"/>
        <w:numPr>
          <w:ilvl w:val="0"/>
          <w:numId w:val="21"/>
        </w:numPr>
        <w:jc w:val="both"/>
      </w:pPr>
      <w:r w:rsidRPr="0084169B">
        <w:t>‘Introduction to Housing First’ training has been provided to 64 individuals, with a further 20 undertaking Practitioners training and 10 senior officers attending Housing First Managers Training</w:t>
      </w:r>
      <w:r w:rsidR="00FF6253">
        <w:t xml:space="preserve"> </w:t>
      </w:r>
      <w:r w:rsidR="003E57AF">
        <w:t>across the service and partner agencies</w:t>
      </w:r>
      <w:r w:rsidR="007E65A0">
        <w:t>.</w:t>
      </w:r>
    </w:p>
    <w:p w14:paraId="13F5727B" w14:textId="4ED99AA7" w:rsidR="0084169B" w:rsidRPr="0084169B" w:rsidRDefault="0084169B">
      <w:pPr>
        <w:pStyle w:val="ListParagraph"/>
        <w:numPr>
          <w:ilvl w:val="0"/>
          <w:numId w:val="21"/>
        </w:numPr>
        <w:jc w:val="both"/>
      </w:pPr>
      <w:r w:rsidRPr="0084169B">
        <w:t xml:space="preserve">Commissioned CRISIS to complete a survey to map the Private Rented Sector in Inverclyde. This has assisted in building a closer relationship with the sector </w:t>
      </w:r>
      <w:r w:rsidR="009F57F8">
        <w:t>to</w:t>
      </w:r>
      <w:r w:rsidRPr="0084169B">
        <w:t xml:space="preserve"> increas</w:t>
      </w:r>
      <w:r>
        <w:t xml:space="preserve">e opportunities to access </w:t>
      </w:r>
      <w:r w:rsidRPr="0084169B">
        <w:t xml:space="preserve">the sector </w:t>
      </w:r>
      <w:r w:rsidR="009F57F8">
        <w:t>as part of our homeless prevention activities</w:t>
      </w:r>
      <w:r w:rsidR="007E65A0">
        <w:t>.</w:t>
      </w:r>
    </w:p>
    <w:p w14:paraId="3506A4A8" w14:textId="10438DA6" w:rsidR="0084169B" w:rsidRPr="0084169B" w:rsidRDefault="009F57F8">
      <w:pPr>
        <w:pStyle w:val="ListParagraph"/>
        <w:numPr>
          <w:ilvl w:val="0"/>
          <w:numId w:val="21"/>
        </w:numPr>
        <w:jc w:val="both"/>
      </w:pPr>
      <w:r w:rsidRPr="009F57F8">
        <w:t xml:space="preserve">Allocation of £56k of RRTP funding </w:t>
      </w:r>
      <w:r w:rsidR="001F4B5D">
        <w:t>to aid with tenancy sustainment</w:t>
      </w:r>
      <w:r w:rsidR="00852C09">
        <w:t xml:space="preserve"> has been used</w:t>
      </w:r>
      <w:r w:rsidR="001F4B5D">
        <w:t xml:space="preserve"> for 1</w:t>
      </w:r>
      <w:r w:rsidR="00852C09">
        <w:t>2</w:t>
      </w:r>
      <w:r w:rsidR="001F4B5D">
        <w:t xml:space="preserve"> households so far through the</w:t>
      </w:r>
      <w:r w:rsidRPr="009F57F8">
        <w:t xml:space="preserve"> provision of essential items i.e. white goods and floor coverings</w:t>
      </w:r>
      <w:r w:rsidR="00FF6253">
        <w:t xml:space="preserve"> and</w:t>
      </w:r>
      <w:r w:rsidR="001F4B5D">
        <w:t xml:space="preserve"> additional</w:t>
      </w:r>
      <w:r w:rsidR="00FF6253">
        <w:t xml:space="preserve"> goods to help support residents of the Inverclyde Centre</w:t>
      </w:r>
      <w:r w:rsidR="007E65A0">
        <w:t>.</w:t>
      </w:r>
    </w:p>
    <w:p w14:paraId="676CCBE2" w14:textId="447E53BC" w:rsidR="00594D16" w:rsidRDefault="00E0603B">
      <w:pPr>
        <w:pStyle w:val="ListParagraph"/>
        <w:numPr>
          <w:ilvl w:val="0"/>
          <w:numId w:val="20"/>
        </w:numPr>
        <w:jc w:val="both"/>
      </w:pPr>
      <w:r>
        <w:t>E</w:t>
      </w:r>
      <w:r w:rsidR="000F708F">
        <w:t xml:space="preserve">stablishment of a Rapid Rehousing Support Team </w:t>
      </w:r>
      <w:r w:rsidR="00123B3D">
        <w:t xml:space="preserve">(RRST) </w:t>
      </w:r>
      <w:r w:rsidR="000F708F">
        <w:t>to support and assist homeless households by providing intensive wrap around support</w:t>
      </w:r>
      <w:r w:rsidR="00166CA3">
        <w:t xml:space="preserve"> fo</w:t>
      </w:r>
      <w:r w:rsidR="009C2FCD">
        <w:t>r</w:t>
      </w:r>
      <w:r w:rsidR="00166CA3">
        <w:t xml:space="preserve"> </w:t>
      </w:r>
      <w:r w:rsidR="009F57F8">
        <w:t xml:space="preserve">people </w:t>
      </w:r>
      <w:r w:rsidR="00166CA3">
        <w:t>with complex needs</w:t>
      </w:r>
      <w:r w:rsidR="009F57F8">
        <w:t xml:space="preserve"> to plan, obtain and sustain their tenancy</w:t>
      </w:r>
      <w:r w:rsidR="00594D16">
        <w:t xml:space="preserve">.  </w:t>
      </w:r>
    </w:p>
    <w:p w14:paraId="4A157B7F" w14:textId="29780C0E" w:rsidR="00EB1376" w:rsidRDefault="00594D16" w:rsidP="00D312ED">
      <w:pPr>
        <w:jc w:val="both"/>
      </w:pPr>
      <w:r>
        <w:t xml:space="preserve">Within the hostel accommodation </w:t>
      </w:r>
      <w:r w:rsidR="0084169B">
        <w:t xml:space="preserve">the team have introduced a </w:t>
      </w:r>
      <w:r w:rsidR="00433C32">
        <w:t>support lounge providing ‘drop in’ activities</w:t>
      </w:r>
      <w:r>
        <w:t xml:space="preserve"> including making contact with external community supports, provision of hot food and drinks and introduction of </w:t>
      </w:r>
      <w:r w:rsidR="00433C32">
        <w:t>a Brunch Club</w:t>
      </w:r>
      <w:r w:rsidR="00D312ED">
        <w:t>. There has been</w:t>
      </w:r>
      <w:r w:rsidR="0084169B">
        <w:t xml:space="preserve"> i</w:t>
      </w:r>
      <w:r w:rsidR="00AC0974">
        <w:t>mprove</w:t>
      </w:r>
      <w:r>
        <w:t xml:space="preserve">d </w:t>
      </w:r>
      <w:r w:rsidR="00AC0974">
        <w:t>d</w:t>
      </w:r>
      <w:r w:rsidR="000F708F">
        <w:t>igital inclusion of clien</w:t>
      </w:r>
      <w:r w:rsidR="00AC0974">
        <w:t>ts</w:t>
      </w:r>
      <w:r>
        <w:t xml:space="preserve"> through</w:t>
      </w:r>
      <w:r w:rsidR="00433C32">
        <w:t xml:space="preserve"> free </w:t>
      </w:r>
      <w:r w:rsidR="00E30AE9">
        <w:t>Wi-Fi</w:t>
      </w:r>
      <w:r w:rsidR="00433C32">
        <w:t xml:space="preserve">, distribution of </w:t>
      </w:r>
      <w:r>
        <w:t xml:space="preserve">personal </w:t>
      </w:r>
      <w:r w:rsidR="00433C32">
        <w:t>radios a</w:t>
      </w:r>
      <w:r>
        <w:t>nd</w:t>
      </w:r>
      <w:r w:rsidR="00433C32">
        <w:t xml:space="preserve"> TV’s</w:t>
      </w:r>
      <w:r w:rsidR="00D312ED">
        <w:t>,</w:t>
      </w:r>
      <w:r w:rsidR="00433C32">
        <w:t xml:space="preserve"> large screen </w:t>
      </w:r>
      <w:r w:rsidR="009268E9">
        <w:t>TVs</w:t>
      </w:r>
      <w:r w:rsidR="00433C32">
        <w:t xml:space="preserve"> </w:t>
      </w:r>
      <w:r>
        <w:t>in</w:t>
      </w:r>
      <w:r w:rsidR="00D312ED">
        <w:t>stalled in</w:t>
      </w:r>
      <w:r>
        <w:t xml:space="preserve"> the communal</w:t>
      </w:r>
      <w:r w:rsidR="00433C32">
        <w:t xml:space="preserve"> lounge areas</w:t>
      </w:r>
      <w:r w:rsidR="00D312ED">
        <w:t xml:space="preserve"> and suppo</w:t>
      </w:r>
      <w:r w:rsidR="00CC0DEB">
        <w:t>rt</w:t>
      </w:r>
      <w:r w:rsidR="00140827">
        <w:t>ing</w:t>
      </w:r>
      <w:r w:rsidR="00D312ED">
        <w:t xml:space="preserve"> residents</w:t>
      </w:r>
      <w:r w:rsidR="00140827">
        <w:t xml:space="preserve"> with the skills</w:t>
      </w:r>
      <w:r w:rsidR="00D312ED">
        <w:t xml:space="preserve"> to use online platforms i.e. switching people on </w:t>
      </w:r>
      <w:r w:rsidR="00140827">
        <w:t>Universal Credit</w:t>
      </w:r>
      <w:r w:rsidR="00D312ED">
        <w:t xml:space="preserve"> to online accounts as opposed to telephone accounts</w:t>
      </w:r>
      <w:r w:rsidR="00140827">
        <w:t xml:space="preserve">, allowing </w:t>
      </w:r>
      <w:r w:rsidR="00D312ED">
        <w:t>access</w:t>
      </w:r>
      <w:r w:rsidR="00140827">
        <w:t xml:space="preserve"> to</w:t>
      </w:r>
      <w:r w:rsidR="00D312ED">
        <w:t xml:space="preserve"> their journals and upcoming payments etc. </w:t>
      </w:r>
    </w:p>
    <w:p w14:paraId="07E77493" w14:textId="77777777" w:rsidR="00102DB2" w:rsidRPr="00B20019" w:rsidRDefault="00102DB2">
      <w:pPr>
        <w:pStyle w:val="ListParagraph"/>
        <w:numPr>
          <w:ilvl w:val="0"/>
          <w:numId w:val="10"/>
        </w:numPr>
        <w:rPr>
          <w:b/>
        </w:rPr>
      </w:pPr>
      <w:r w:rsidRPr="00B20019">
        <w:rPr>
          <w:b/>
        </w:rPr>
        <w:lastRenderedPageBreak/>
        <w:t xml:space="preserve">Background </w:t>
      </w:r>
    </w:p>
    <w:p w14:paraId="556FD057" w14:textId="77777777" w:rsidR="00102DB2" w:rsidRPr="004C6572" w:rsidRDefault="00B67368" w:rsidP="009F57F8">
      <w:pPr>
        <w:jc w:val="both"/>
      </w:pPr>
      <w:r>
        <w:t>2.1</w:t>
      </w:r>
      <w:r>
        <w:tab/>
      </w:r>
      <w:r w:rsidR="00102DB2" w:rsidRPr="00763B8A">
        <w:rPr>
          <w:u w:val="single"/>
        </w:rPr>
        <w:t>National Vision</w:t>
      </w:r>
    </w:p>
    <w:p w14:paraId="1FB969BF" w14:textId="18C493BE" w:rsidR="00FE0986" w:rsidRDefault="00CE41FB" w:rsidP="00113B24">
      <w:pPr>
        <w:ind w:left="720"/>
        <w:jc w:val="both"/>
      </w:pPr>
      <w:r>
        <w:t xml:space="preserve">As </w:t>
      </w:r>
      <w:r w:rsidR="004C6572" w:rsidRPr="004C6572">
        <w:t xml:space="preserve">part of the plan to </w:t>
      </w:r>
      <w:r>
        <w:t xml:space="preserve">transform </w:t>
      </w:r>
      <w:r w:rsidR="004C6572" w:rsidRPr="004C6572">
        <w:t>homelessness services</w:t>
      </w:r>
      <w:r w:rsidR="007E593C">
        <w:t xml:space="preserve"> in Scotland and responding to recommendations made by The Homelessness and Rough Sleeping Action Group, </w:t>
      </w:r>
      <w:r w:rsidR="009F57F8">
        <w:t xml:space="preserve">local authorities were required to develop a </w:t>
      </w:r>
      <w:r w:rsidR="009F57F8" w:rsidRPr="004C6572">
        <w:rPr>
          <w:bCs/>
        </w:rPr>
        <w:t>five-year</w:t>
      </w:r>
      <w:r w:rsidR="004C6572" w:rsidRPr="004C6572">
        <w:rPr>
          <w:bCs/>
        </w:rPr>
        <w:t xml:space="preserve"> Rapid Rehousing Transition Plan</w:t>
      </w:r>
      <w:r w:rsidR="004C6572" w:rsidRPr="004C6572">
        <w:t> (RRTP)</w:t>
      </w:r>
      <w:r w:rsidR="009F57F8">
        <w:t xml:space="preserve"> </w:t>
      </w:r>
      <w:r w:rsidR="00934392">
        <w:t>for</w:t>
      </w:r>
      <w:r w:rsidR="009F57F8">
        <w:t xml:space="preserve"> 2019 </w:t>
      </w:r>
      <w:r w:rsidR="002C5BA8">
        <w:t>–</w:t>
      </w:r>
      <w:r w:rsidR="009F57F8">
        <w:t xml:space="preserve"> 2024.  Each local authority was granted </w:t>
      </w:r>
      <w:r w:rsidR="00934392">
        <w:t xml:space="preserve">SG </w:t>
      </w:r>
      <w:r w:rsidR="009F57F8">
        <w:t>funding to</w:t>
      </w:r>
      <w:r w:rsidR="00FA30B8">
        <w:t xml:space="preserve"> deliver on these plans</w:t>
      </w:r>
      <w:r w:rsidR="00934392">
        <w:t xml:space="preserve">, with annual reporting back to the Scottish Government in place.  </w:t>
      </w:r>
      <w:r w:rsidR="009F57F8">
        <w:t xml:space="preserve"> </w:t>
      </w:r>
      <w:r w:rsidR="00FA30B8">
        <w:t xml:space="preserve"> </w:t>
      </w:r>
    </w:p>
    <w:p w14:paraId="271A96A9" w14:textId="77777777" w:rsidR="00102DB2" w:rsidRDefault="00B67368" w:rsidP="00934392">
      <w:pPr>
        <w:jc w:val="both"/>
        <w:rPr>
          <w:u w:val="single"/>
        </w:rPr>
      </w:pPr>
      <w:r>
        <w:t>2.2</w:t>
      </w:r>
      <w:r>
        <w:tab/>
      </w:r>
      <w:r w:rsidR="00102DB2" w:rsidRPr="00763B8A">
        <w:rPr>
          <w:u w:val="single"/>
        </w:rPr>
        <w:t xml:space="preserve">Inverclyde’s Vision </w:t>
      </w:r>
    </w:p>
    <w:p w14:paraId="421295CE" w14:textId="11CB5343" w:rsidR="007E593C" w:rsidRDefault="007E593C" w:rsidP="00934392">
      <w:pPr>
        <w:ind w:left="720"/>
        <w:jc w:val="both"/>
      </w:pPr>
      <w:r>
        <w:t xml:space="preserve">Inverclyde’s initial RRTP </w:t>
      </w:r>
      <w:r w:rsidR="007E590A">
        <w:t>proposal</w:t>
      </w:r>
      <w:r>
        <w:t xml:space="preserve"> outlined a full transformational change approach</w:t>
      </w:r>
      <w:r w:rsidR="007E590A">
        <w:t xml:space="preserve"> to </w:t>
      </w:r>
      <w:r w:rsidR="00D442E1">
        <w:t>service delivery</w:t>
      </w:r>
      <w:r w:rsidR="00F106CA">
        <w:t>.</w:t>
      </w:r>
      <w:r>
        <w:t xml:space="preserve"> </w:t>
      </w:r>
      <w:r w:rsidR="00F106CA">
        <w:t>H</w:t>
      </w:r>
      <w:r>
        <w:t xml:space="preserve">owever </w:t>
      </w:r>
      <w:r w:rsidR="00D442E1">
        <w:t xml:space="preserve">initial expectations for </w:t>
      </w:r>
      <w:r w:rsidR="00934392">
        <w:t xml:space="preserve">SG </w:t>
      </w:r>
      <w:r w:rsidR="00D442E1">
        <w:t>funding were not realised</w:t>
      </w:r>
      <w:r w:rsidR="001F4B5D">
        <w:t>.</w:t>
      </w:r>
      <w:r w:rsidR="00934392">
        <w:t xml:space="preserve"> The </w:t>
      </w:r>
      <w:r w:rsidR="00D442E1">
        <w:t>plan was</w:t>
      </w:r>
      <w:r>
        <w:t xml:space="preserve"> revised with a f</w:t>
      </w:r>
      <w:r w:rsidR="00AC198A">
        <w:t xml:space="preserve">ocus </w:t>
      </w:r>
      <w:r w:rsidR="00D442E1">
        <w:t xml:space="preserve">on key priorities </w:t>
      </w:r>
      <w:r w:rsidR="00690FCC">
        <w:t xml:space="preserve">around </w:t>
      </w:r>
      <w:r>
        <w:t>preventing homelessness through a full implementation of Housing Options</w:t>
      </w:r>
      <w:r w:rsidR="00934392">
        <w:t xml:space="preserve">; </w:t>
      </w:r>
      <w:r>
        <w:t>mainstreaming</w:t>
      </w:r>
      <w:r w:rsidR="00433C32">
        <w:t xml:space="preserve"> low level</w:t>
      </w:r>
      <w:r>
        <w:t xml:space="preserve"> support for t</w:t>
      </w:r>
      <w:r w:rsidR="00433C32">
        <w:t>hose who need it</w:t>
      </w:r>
      <w:r>
        <w:t xml:space="preserve"> to sustain tenancies and delivery of </w:t>
      </w:r>
      <w:r w:rsidR="00934392">
        <w:t xml:space="preserve">a </w:t>
      </w:r>
      <w:r>
        <w:t xml:space="preserve">Housing </w:t>
      </w:r>
      <w:r w:rsidR="00934392">
        <w:t>F</w:t>
      </w:r>
      <w:r>
        <w:t>irst approac</w:t>
      </w:r>
      <w:r w:rsidR="00934392">
        <w:t>h</w:t>
      </w:r>
      <w:r>
        <w:t>.</w:t>
      </w:r>
    </w:p>
    <w:p w14:paraId="5E09D374" w14:textId="77777777" w:rsidR="007E593C" w:rsidRDefault="001A54BC" w:rsidP="00934392">
      <w:r>
        <w:rPr>
          <w:noProof/>
          <w:lang w:eastAsia="en-GB"/>
        </w:rPr>
        <w:drawing>
          <wp:anchor distT="0" distB="0" distL="114300" distR="114300" simplePos="0" relativeHeight="251664384" behindDoc="0" locked="0" layoutInCell="1" allowOverlap="1" wp14:anchorId="77F1907E" wp14:editId="09413726">
            <wp:simplePos x="0" y="0"/>
            <wp:positionH relativeFrom="column">
              <wp:posOffset>393539</wp:posOffset>
            </wp:positionH>
            <wp:positionV relativeFrom="paragraph">
              <wp:posOffset>10971</wp:posOffset>
            </wp:positionV>
            <wp:extent cx="5492299"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299" cy="914400"/>
                    </a:xfrm>
                    <a:prstGeom prst="rect">
                      <a:avLst/>
                    </a:prstGeom>
                    <a:noFill/>
                  </pic:spPr>
                </pic:pic>
              </a:graphicData>
            </a:graphic>
          </wp:anchor>
        </w:drawing>
      </w:r>
    </w:p>
    <w:p w14:paraId="3A01FE41" w14:textId="77777777" w:rsidR="001A54BC" w:rsidRDefault="001A54BC" w:rsidP="00934392">
      <w:pPr>
        <w:ind w:left="720"/>
        <w:rPr>
          <w:rFonts w:cstheme="minorHAnsi"/>
        </w:rPr>
      </w:pPr>
    </w:p>
    <w:p w14:paraId="7983D9C7" w14:textId="3E35197E" w:rsidR="009F6FA9" w:rsidRDefault="009F6FA9" w:rsidP="00934392">
      <w:pPr>
        <w:ind w:left="720"/>
        <w:rPr>
          <w:rFonts w:cstheme="minorHAnsi"/>
        </w:rPr>
      </w:pPr>
      <w:r>
        <w:rPr>
          <w:rFonts w:cstheme="minorHAnsi"/>
        </w:rPr>
        <w:t xml:space="preserve">Inverclyde’s vision was underpinned with 4 key </w:t>
      </w:r>
      <w:r w:rsidR="00CF3DD3">
        <w:rPr>
          <w:rFonts w:cstheme="minorHAnsi"/>
        </w:rPr>
        <w:t>high-level</w:t>
      </w:r>
      <w:r>
        <w:rPr>
          <w:rFonts w:cstheme="minorHAnsi"/>
        </w:rPr>
        <w:t xml:space="preserve"> objectives:</w:t>
      </w:r>
    </w:p>
    <w:p w14:paraId="5246A326" w14:textId="6A89CB8E" w:rsidR="009F6FA9" w:rsidRPr="009F6FA9" w:rsidRDefault="009F6FA9" w:rsidP="00934392">
      <w:pPr>
        <w:pStyle w:val="ListParagraph"/>
        <w:numPr>
          <w:ilvl w:val="0"/>
          <w:numId w:val="5"/>
        </w:numPr>
        <w:ind w:left="1440"/>
        <w:rPr>
          <w:rFonts w:cstheme="minorHAnsi"/>
        </w:rPr>
      </w:pPr>
      <w:r w:rsidRPr="00B03436">
        <w:t>Reduce the need for temporary accommodation by preventing homelessness</w:t>
      </w:r>
      <w:r w:rsidR="00934392">
        <w:t>,</w:t>
      </w:r>
    </w:p>
    <w:p w14:paraId="7AEDCC62" w14:textId="4352F7E1" w:rsidR="009F6FA9" w:rsidRPr="009F6FA9" w:rsidRDefault="009F6FA9" w:rsidP="00934392">
      <w:pPr>
        <w:pStyle w:val="ListParagraph"/>
        <w:numPr>
          <w:ilvl w:val="0"/>
          <w:numId w:val="5"/>
        </w:numPr>
        <w:ind w:left="1440"/>
        <w:rPr>
          <w:rFonts w:cstheme="minorHAnsi"/>
        </w:rPr>
      </w:pPr>
      <w:r w:rsidRPr="00B03436">
        <w:t>Enable service users with no/low support needs to access settled housing quickly</w:t>
      </w:r>
      <w:r w:rsidR="00934392">
        <w:t>,</w:t>
      </w:r>
    </w:p>
    <w:p w14:paraId="0FC6B4CE" w14:textId="60FC3ECA" w:rsidR="009F6FA9" w:rsidRPr="009F6FA9" w:rsidRDefault="009F6FA9" w:rsidP="00934392">
      <w:pPr>
        <w:pStyle w:val="ListParagraph"/>
        <w:numPr>
          <w:ilvl w:val="0"/>
          <w:numId w:val="5"/>
        </w:numPr>
        <w:ind w:left="1440"/>
        <w:rPr>
          <w:rFonts w:cstheme="minorHAnsi"/>
        </w:rPr>
      </w:pPr>
      <w:r w:rsidRPr="00B03436">
        <w:t>Implement a Housing First model which enables excluded service users to achieve housing sustainment</w:t>
      </w:r>
      <w:r w:rsidR="00934392">
        <w:t>,</w:t>
      </w:r>
    </w:p>
    <w:p w14:paraId="5512F736" w14:textId="4801B33C" w:rsidR="009F6FA9" w:rsidRPr="0011045C" w:rsidRDefault="009F6FA9" w:rsidP="00934392">
      <w:pPr>
        <w:pStyle w:val="ListParagraph"/>
        <w:numPr>
          <w:ilvl w:val="0"/>
          <w:numId w:val="5"/>
        </w:numPr>
        <w:ind w:left="1440"/>
        <w:rPr>
          <w:rFonts w:cstheme="minorHAnsi"/>
        </w:rPr>
      </w:pPr>
      <w:r w:rsidRPr="00B03436">
        <w:t>Enable service users who need specialist supported housing to access commissioned HSCP services</w:t>
      </w:r>
      <w:r w:rsidR="00934392">
        <w:t>.</w:t>
      </w:r>
    </w:p>
    <w:p w14:paraId="228DF860" w14:textId="0445D533" w:rsidR="00526848" w:rsidRDefault="007E593C" w:rsidP="00934392">
      <w:pPr>
        <w:ind w:left="720"/>
        <w:jc w:val="both"/>
        <w:rPr>
          <w:rFonts w:cstheme="minorHAnsi"/>
        </w:rPr>
      </w:pPr>
      <w:r w:rsidRPr="007E593C">
        <w:rPr>
          <w:rFonts w:cstheme="minorHAnsi"/>
        </w:rPr>
        <w:t>Inverclyde Health and Social Care Partnership are committed to ensuring that people who use the service receive the best possible care which meets their needs and that a person-centred approach is delivered for anyone experiencing the trauma of homelessness.</w:t>
      </w:r>
    </w:p>
    <w:p w14:paraId="3B7E4D99" w14:textId="77777777" w:rsidR="00F97168" w:rsidRPr="00526848" w:rsidRDefault="00526848" w:rsidP="00526848">
      <w:pPr>
        <w:rPr>
          <w:rFonts w:cstheme="minorHAnsi"/>
          <w:u w:val="single"/>
        </w:rPr>
      </w:pPr>
      <w:r w:rsidRPr="00526848">
        <w:rPr>
          <w:rFonts w:cstheme="minorHAnsi"/>
        </w:rPr>
        <w:t>2.3</w:t>
      </w:r>
      <w:r w:rsidRPr="00526848">
        <w:rPr>
          <w:rFonts w:cstheme="minorHAnsi"/>
        </w:rPr>
        <w:tab/>
      </w:r>
      <w:r w:rsidR="00F97168" w:rsidRPr="00526848">
        <w:rPr>
          <w:rFonts w:cstheme="minorHAnsi"/>
          <w:u w:val="single"/>
        </w:rPr>
        <w:t>Governance</w:t>
      </w:r>
    </w:p>
    <w:p w14:paraId="7773AE6F" w14:textId="2E7DC128" w:rsidR="00F97168" w:rsidRDefault="00F97168" w:rsidP="00526848">
      <w:pPr>
        <w:ind w:left="720"/>
        <w:jc w:val="both"/>
        <w:rPr>
          <w:rFonts w:cstheme="minorHAnsi"/>
        </w:rPr>
      </w:pPr>
      <w:r w:rsidRPr="00F97168">
        <w:rPr>
          <w:rFonts w:cstheme="minorHAnsi"/>
        </w:rPr>
        <w:t xml:space="preserve">The </w:t>
      </w:r>
      <w:r w:rsidR="00077415">
        <w:rPr>
          <w:rFonts w:cstheme="minorHAnsi"/>
        </w:rPr>
        <w:t>Rapid Rehousing Transition Plan Steering Group is the multi-agency</w:t>
      </w:r>
      <w:r w:rsidRPr="00F97168">
        <w:rPr>
          <w:rFonts w:cstheme="minorHAnsi"/>
        </w:rPr>
        <w:t xml:space="preserve"> group </w:t>
      </w:r>
      <w:r w:rsidR="00D84EF8">
        <w:rPr>
          <w:rFonts w:cstheme="minorHAnsi"/>
        </w:rPr>
        <w:t xml:space="preserve">tasked with </w:t>
      </w:r>
      <w:r w:rsidRPr="00F97168">
        <w:rPr>
          <w:rFonts w:cstheme="minorHAnsi"/>
        </w:rPr>
        <w:t>overseeing the two working groups</w:t>
      </w:r>
      <w:r w:rsidRPr="00F97168">
        <w:t xml:space="preserve"> </w:t>
      </w:r>
      <w:r w:rsidRPr="00F97168">
        <w:rPr>
          <w:rFonts w:cstheme="minorHAnsi"/>
        </w:rPr>
        <w:t xml:space="preserve">responsible for delivering Inverclyde’s Rapid Rehousing </w:t>
      </w:r>
      <w:r w:rsidR="00CF3DD3" w:rsidRPr="00F97168">
        <w:rPr>
          <w:rFonts w:cstheme="minorHAnsi"/>
        </w:rPr>
        <w:t>model:</w:t>
      </w:r>
      <w:r w:rsidRPr="00F97168">
        <w:rPr>
          <w:rFonts w:cstheme="minorHAnsi"/>
        </w:rPr>
        <w:t xml:space="preserve"> </w:t>
      </w:r>
      <w:r w:rsidR="00153897">
        <w:rPr>
          <w:rFonts w:cstheme="minorHAnsi"/>
        </w:rPr>
        <w:t xml:space="preserve">the </w:t>
      </w:r>
      <w:r w:rsidRPr="00F97168">
        <w:rPr>
          <w:rFonts w:cstheme="minorHAnsi"/>
        </w:rPr>
        <w:t xml:space="preserve">Housing Options Working Group and Housing First Working Group. </w:t>
      </w:r>
      <w:r w:rsidR="00077415">
        <w:rPr>
          <w:rFonts w:cstheme="minorHAnsi"/>
        </w:rPr>
        <w:t>The purpose of</w:t>
      </w:r>
      <w:r w:rsidR="00433C32">
        <w:rPr>
          <w:rFonts w:cstheme="minorHAnsi"/>
        </w:rPr>
        <w:t xml:space="preserve"> both</w:t>
      </w:r>
      <w:r w:rsidR="00077415">
        <w:rPr>
          <w:rFonts w:cstheme="minorHAnsi"/>
        </w:rPr>
        <w:t xml:space="preserve"> group</w:t>
      </w:r>
      <w:r w:rsidR="00433C32">
        <w:rPr>
          <w:rFonts w:cstheme="minorHAnsi"/>
        </w:rPr>
        <w:t>s is to review</w:t>
      </w:r>
      <w:r w:rsidR="00077415">
        <w:rPr>
          <w:rFonts w:cstheme="minorHAnsi"/>
        </w:rPr>
        <w:t xml:space="preserve"> </w:t>
      </w:r>
      <w:r w:rsidR="00077415" w:rsidRPr="00077415">
        <w:rPr>
          <w:rFonts w:cstheme="minorHAnsi"/>
        </w:rPr>
        <w:t>service provision</w:t>
      </w:r>
      <w:r w:rsidR="00077415">
        <w:rPr>
          <w:rFonts w:cstheme="minorHAnsi"/>
        </w:rPr>
        <w:t xml:space="preserve">, </w:t>
      </w:r>
      <w:r w:rsidR="00CF3DD3">
        <w:rPr>
          <w:rFonts w:cstheme="minorHAnsi"/>
        </w:rPr>
        <w:t>practices,</w:t>
      </w:r>
      <w:r w:rsidR="00077415">
        <w:rPr>
          <w:rFonts w:cstheme="minorHAnsi"/>
        </w:rPr>
        <w:t xml:space="preserve"> and processes</w:t>
      </w:r>
      <w:r w:rsidR="00077415" w:rsidRPr="00077415">
        <w:rPr>
          <w:rFonts w:cstheme="minorHAnsi"/>
        </w:rPr>
        <w:t xml:space="preserve"> </w:t>
      </w:r>
      <w:r w:rsidR="00077415">
        <w:rPr>
          <w:rFonts w:cstheme="minorHAnsi"/>
        </w:rPr>
        <w:t xml:space="preserve">in relation to </w:t>
      </w:r>
      <w:r w:rsidR="00433C32">
        <w:rPr>
          <w:rFonts w:cstheme="minorHAnsi"/>
        </w:rPr>
        <w:t>working collaboratively</w:t>
      </w:r>
      <w:r w:rsidR="00077415" w:rsidRPr="00077415">
        <w:rPr>
          <w:rFonts w:cstheme="minorHAnsi"/>
        </w:rPr>
        <w:t xml:space="preserve"> to rapidly re-house h</w:t>
      </w:r>
      <w:r w:rsidR="00077415">
        <w:rPr>
          <w:rFonts w:cstheme="minorHAnsi"/>
        </w:rPr>
        <w:t>omeless people and the active monitoring of progress achieved through these streams.</w:t>
      </w:r>
    </w:p>
    <w:p w14:paraId="2BF7DFF2" w14:textId="628DB2FB" w:rsidR="00F97168" w:rsidRDefault="00077415" w:rsidP="00934392">
      <w:pPr>
        <w:ind w:left="720"/>
        <w:jc w:val="both"/>
        <w:rPr>
          <w:rFonts w:cstheme="minorHAnsi"/>
        </w:rPr>
      </w:pPr>
      <w:r>
        <w:rPr>
          <w:rFonts w:cstheme="minorHAnsi"/>
        </w:rPr>
        <w:t xml:space="preserve">A </w:t>
      </w:r>
      <w:r w:rsidR="00934392">
        <w:rPr>
          <w:rFonts w:cstheme="minorHAnsi"/>
        </w:rPr>
        <w:t>L</w:t>
      </w:r>
      <w:r>
        <w:rPr>
          <w:rFonts w:cstheme="minorHAnsi"/>
        </w:rPr>
        <w:t xml:space="preserve">ead </w:t>
      </w:r>
      <w:r w:rsidR="00B22243">
        <w:rPr>
          <w:rFonts w:cstheme="minorHAnsi"/>
        </w:rPr>
        <w:t>Officer for RRTP</w:t>
      </w:r>
      <w:r>
        <w:rPr>
          <w:rFonts w:cstheme="minorHAnsi"/>
        </w:rPr>
        <w:t xml:space="preserve"> came into post in October 2020 </w:t>
      </w:r>
      <w:r w:rsidR="00934392">
        <w:rPr>
          <w:rFonts w:cstheme="minorHAnsi"/>
        </w:rPr>
        <w:t xml:space="preserve">and was vacated in </w:t>
      </w:r>
      <w:r w:rsidR="00B22243">
        <w:rPr>
          <w:rFonts w:cstheme="minorHAnsi"/>
        </w:rPr>
        <w:t>March 2022</w:t>
      </w:r>
      <w:r>
        <w:rPr>
          <w:rFonts w:cstheme="minorHAnsi"/>
        </w:rPr>
        <w:t xml:space="preserve">. </w:t>
      </w:r>
      <w:r w:rsidR="00113B24">
        <w:rPr>
          <w:rFonts w:cstheme="minorHAnsi"/>
        </w:rPr>
        <w:t xml:space="preserve"> </w:t>
      </w:r>
      <w:r w:rsidR="00934392">
        <w:rPr>
          <w:rFonts w:cstheme="minorHAnsi"/>
        </w:rPr>
        <w:t xml:space="preserve">During this time, delivering on the RRTP has been led by the Change Lead with support from Graduate Interns.  In future the RRTP objectives will be delivered by two Temporary </w:t>
      </w:r>
      <w:r w:rsidR="00433C32">
        <w:rPr>
          <w:rFonts w:cstheme="minorHAnsi"/>
        </w:rPr>
        <w:t>FTE Project Assistant (RRTP) posts which will be dedicated</w:t>
      </w:r>
      <w:r w:rsidR="00B22243">
        <w:rPr>
          <w:rFonts w:cstheme="minorHAnsi"/>
        </w:rPr>
        <w:t xml:space="preserve"> role i</w:t>
      </w:r>
      <w:r>
        <w:rPr>
          <w:rFonts w:cstheme="minorHAnsi"/>
        </w:rPr>
        <w:t xml:space="preserve">n delivering on RRTP objectives. </w:t>
      </w:r>
    </w:p>
    <w:p w14:paraId="71184177" w14:textId="77777777" w:rsidR="00E02133" w:rsidRDefault="00E02133" w:rsidP="00934392">
      <w:pPr>
        <w:ind w:left="720"/>
        <w:jc w:val="both"/>
        <w:rPr>
          <w:rFonts w:cstheme="minorHAnsi"/>
        </w:rPr>
      </w:pPr>
    </w:p>
    <w:p w14:paraId="5F57180F" w14:textId="77777777" w:rsidR="00102DB2" w:rsidRPr="00B67368" w:rsidRDefault="00F97168" w:rsidP="00934392">
      <w:pPr>
        <w:jc w:val="both"/>
        <w:rPr>
          <w:rFonts w:cstheme="minorHAnsi"/>
        </w:rPr>
      </w:pPr>
      <w:r>
        <w:rPr>
          <w:rFonts w:cstheme="minorHAnsi"/>
        </w:rPr>
        <w:lastRenderedPageBreak/>
        <w:t>2.4</w:t>
      </w:r>
      <w:r w:rsidR="00B67368">
        <w:rPr>
          <w:rFonts w:cstheme="minorHAnsi"/>
        </w:rPr>
        <w:tab/>
      </w:r>
      <w:r w:rsidR="00102DB2" w:rsidRPr="00B67368">
        <w:rPr>
          <w:u w:val="single"/>
        </w:rPr>
        <w:t>Funding</w:t>
      </w:r>
    </w:p>
    <w:tbl>
      <w:tblPr>
        <w:tblStyle w:val="TableGrid"/>
        <w:tblpPr w:leftFromText="180" w:rightFromText="180" w:vertAnchor="text" w:horzAnchor="margin" w:tblpXSpec="center" w:tblpY="683"/>
        <w:tblW w:w="0" w:type="auto"/>
        <w:tblLook w:val="04A0" w:firstRow="1" w:lastRow="0" w:firstColumn="1" w:lastColumn="0" w:noHBand="0" w:noVBand="1"/>
      </w:tblPr>
      <w:tblGrid>
        <w:gridCol w:w="1898"/>
        <w:gridCol w:w="1897"/>
        <w:gridCol w:w="1908"/>
        <w:gridCol w:w="1898"/>
      </w:tblGrid>
      <w:tr w:rsidR="00526848" w14:paraId="12EAB289" w14:textId="77777777" w:rsidTr="00526848">
        <w:trPr>
          <w:trHeight w:val="326"/>
        </w:trPr>
        <w:tc>
          <w:tcPr>
            <w:tcW w:w="1898" w:type="dxa"/>
            <w:shd w:val="clear" w:color="auto" w:fill="9CC2E5" w:themeFill="accent1" w:themeFillTint="99"/>
          </w:tcPr>
          <w:p w14:paraId="2B42ECCA" w14:textId="77777777" w:rsidR="00526848" w:rsidRDefault="00526848" w:rsidP="00934392">
            <w:pPr>
              <w:jc w:val="both"/>
            </w:pPr>
            <w:r>
              <w:t>2019/20</w:t>
            </w:r>
          </w:p>
        </w:tc>
        <w:tc>
          <w:tcPr>
            <w:tcW w:w="1897" w:type="dxa"/>
            <w:shd w:val="clear" w:color="auto" w:fill="9CC2E5" w:themeFill="accent1" w:themeFillTint="99"/>
          </w:tcPr>
          <w:p w14:paraId="4182C618" w14:textId="77777777" w:rsidR="00526848" w:rsidRDefault="00526848" w:rsidP="00934392">
            <w:pPr>
              <w:jc w:val="both"/>
            </w:pPr>
            <w:r>
              <w:t>2020/21</w:t>
            </w:r>
          </w:p>
        </w:tc>
        <w:tc>
          <w:tcPr>
            <w:tcW w:w="1908" w:type="dxa"/>
            <w:shd w:val="clear" w:color="auto" w:fill="9CC2E5" w:themeFill="accent1" w:themeFillTint="99"/>
          </w:tcPr>
          <w:p w14:paraId="50F64FD9" w14:textId="77777777" w:rsidR="00526848" w:rsidRDefault="00526848" w:rsidP="00934392">
            <w:pPr>
              <w:jc w:val="both"/>
            </w:pPr>
            <w:r>
              <w:t>2021/22</w:t>
            </w:r>
          </w:p>
        </w:tc>
        <w:tc>
          <w:tcPr>
            <w:tcW w:w="1898" w:type="dxa"/>
            <w:shd w:val="clear" w:color="auto" w:fill="9CC2E5" w:themeFill="accent1" w:themeFillTint="99"/>
          </w:tcPr>
          <w:p w14:paraId="14621C77" w14:textId="77777777" w:rsidR="00526848" w:rsidRDefault="00526848" w:rsidP="00934392">
            <w:pPr>
              <w:jc w:val="both"/>
            </w:pPr>
            <w:r>
              <w:t>2022/23</w:t>
            </w:r>
          </w:p>
        </w:tc>
      </w:tr>
      <w:tr w:rsidR="00526848" w14:paraId="51CA9849" w14:textId="77777777" w:rsidTr="00526848">
        <w:trPr>
          <w:trHeight w:val="271"/>
        </w:trPr>
        <w:tc>
          <w:tcPr>
            <w:tcW w:w="1898" w:type="dxa"/>
          </w:tcPr>
          <w:p w14:paraId="50CFF92D" w14:textId="77777777" w:rsidR="00526848" w:rsidRDefault="00526848" w:rsidP="00934392">
            <w:pPr>
              <w:jc w:val="both"/>
            </w:pPr>
            <w:r>
              <w:t>£53,000</w:t>
            </w:r>
          </w:p>
        </w:tc>
        <w:tc>
          <w:tcPr>
            <w:tcW w:w="1897" w:type="dxa"/>
          </w:tcPr>
          <w:p w14:paraId="55971128" w14:textId="77777777" w:rsidR="00526848" w:rsidRDefault="00526848" w:rsidP="00934392">
            <w:pPr>
              <w:jc w:val="both"/>
            </w:pPr>
            <w:r>
              <w:t>£44,000</w:t>
            </w:r>
          </w:p>
        </w:tc>
        <w:tc>
          <w:tcPr>
            <w:tcW w:w="1908" w:type="dxa"/>
          </w:tcPr>
          <w:p w14:paraId="1F7A1542" w14:textId="77777777" w:rsidR="00526848" w:rsidRDefault="00526848" w:rsidP="00934392">
            <w:pPr>
              <w:jc w:val="both"/>
            </w:pPr>
            <w:r>
              <w:t>£44,000*</w:t>
            </w:r>
          </w:p>
        </w:tc>
        <w:tc>
          <w:tcPr>
            <w:tcW w:w="1898" w:type="dxa"/>
          </w:tcPr>
          <w:p w14:paraId="298E43C5" w14:textId="77777777" w:rsidR="00526848" w:rsidRPr="00433C32" w:rsidRDefault="00526848" w:rsidP="00934392">
            <w:pPr>
              <w:jc w:val="both"/>
              <w:rPr>
                <w:color w:val="FF0000"/>
              </w:rPr>
            </w:pPr>
            <w:r w:rsidRPr="0023667B">
              <w:t>£44,000</w:t>
            </w:r>
          </w:p>
        </w:tc>
      </w:tr>
    </w:tbl>
    <w:p w14:paraId="6440F971" w14:textId="06335FBA" w:rsidR="00614A06" w:rsidRDefault="00614A06" w:rsidP="00934392">
      <w:pPr>
        <w:ind w:left="720"/>
        <w:jc w:val="both"/>
      </w:pPr>
      <w:r>
        <w:t xml:space="preserve">Inverclyde was allocated £30,000 to develop the Rapid Rehousing Transition Plan in 2018/19. Since </w:t>
      </w:r>
      <w:r w:rsidR="00935B90">
        <w:t>then,</w:t>
      </w:r>
      <w:r>
        <w:t xml:space="preserve"> the local authority has received the below funding: </w:t>
      </w:r>
    </w:p>
    <w:p w14:paraId="2BAE447C" w14:textId="77777777" w:rsidR="00526848" w:rsidRDefault="00526848" w:rsidP="00934392">
      <w:pPr>
        <w:jc w:val="both"/>
      </w:pPr>
    </w:p>
    <w:p w14:paraId="57861A1E" w14:textId="77777777" w:rsidR="00D063F5" w:rsidRPr="00526848" w:rsidRDefault="00526848" w:rsidP="00934392">
      <w:pPr>
        <w:ind w:left="720"/>
        <w:jc w:val="both"/>
        <w:rPr>
          <w:sz w:val="16"/>
        </w:rPr>
      </w:pPr>
      <w:r>
        <w:rPr>
          <w:sz w:val="16"/>
        </w:rPr>
        <w:t xml:space="preserve">       </w:t>
      </w:r>
      <w:r w:rsidR="00614A06" w:rsidRPr="00526848">
        <w:rPr>
          <w:sz w:val="16"/>
        </w:rPr>
        <w:t xml:space="preserve">*Plus additional £28,000 Winter Support Fund </w:t>
      </w:r>
    </w:p>
    <w:p w14:paraId="4EA4DF44" w14:textId="77777777" w:rsidR="0023667B" w:rsidRDefault="0023667B" w:rsidP="00934392">
      <w:pPr>
        <w:ind w:left="360"/>
        <w:jc w:val="both"/>
        <w:rPr>
          <w:sz w:val="18"/>
        </w:rPr>
      </w:pPr>
    </w:p>
    <w:p w14:paraId="261622E6" w14:textId="77777777" w:rsidR="00102DB2" w:rsidRPr="0011045C" w:rsidRDefault="00F97168" w:rsidP="00934392">
      <w:pPr>
        <w:jc w:val="both"/>
        <w:rPr>
          <w:u w:val="single"/>
        </w:rPr>
      </w:pPr>
      <w:r>
        <w:t>2.5</w:t>
      </w:r>
      <w:r w:rsidR="00B67368">
        <w:tab/>
      </w:r>
      <w:r w:rsidR="0011045C" w:rsidRPr="0011045C">
        <w:rPr>
          <w:u w:val="single"/>
        </w:rPr>
        <w:t>Inverclyde Context</w:t>
      </w:r>
    </w:p>
    <w:p w14:paraId="3A459A50" w14:textId="66C857DA" w:rsidR="00433C32" w:rsidRDefault="00FF53DA" w:rsidP="00934392">
      <w:pPr>
        <w:ind w:left="720" w:hanging="720"/>
        <w:jc w:val="both"/>
      </w:pPr>
      <w:r>
        <w:t xml:space="preserve">  </w:t>
      </w:r>
      <w:r w:rsidR="006F2BE2">
        <w:t>2.5.1</w:t>
      </w:r>
      <w:r w:rsidR="006F2BE2">
        <w:tab/>
      </w:r>
      <w:r w:rsidR="00AB25AC">
        <w:t xml:space="preserve">The housing market in </w:t>
      </w:r>
      <w:r w:rsidR="009E3B68">
        <w:t xml:space="preserve">Inverclyde faces similar challenges to </w:t>
      </w:r>
      <w:r w:rsidR="00C134C1">
        <w:t xml:space="preserve">other local authorities in </w:t>
      </w:r>
      <w:r w:rsidR="00AB25AC">
        <w:t xml:space="preserve">that there </w:t>
      </w:r>
      <w:r w:rsidR="00CC564C">
        <w:t>are</w:t>
      </w:r>
      <w:r w:rsidR="00AB25AC">
        <w:t xml:space="preserve"> substantial pressur</w:t>
      </w:r>
      <w:r w:rsidR="009E3B68">
        <w:t>es o</w:t>
      </w:r>
      <w:r w:rsidR="00E759FB">
        <w:t xml:space="preserve">n social housing, </w:t>
      </w:r>
      <w:r w:rsidR="00E81C8B">
        <w:t>with demand</w:t>
      </w:r>
      <w:r w:rsidR="009E3B68">
        <w:t xml:space="preserve"> on local housing associations </w:t>
      </w:r>
      <w:r w:rsidR="00263341">
        <w:t xml:space="preserve">far </w:t>
      </w:r>
      <w:r w:rsidR="009E3B68">
        <w:t xml:space="preserve">exceeding </w:t>
      </w:r>
      <w:r w:rsidR="004E14ED">
        <w:t>the current supply</w:t>
      </w:r>
      <w:r w:rsidR="00AB25AC">
        <w:t>.</w:t>
      </w:r>
      <w:r w:rsidR="00A30B1C">
        <w:t xml:space="preserve"> </w:t>
      </w:r>
      <w:r w:rsidR="00690FCC">
        <w:t>This is further exacerbated in Inverclyde with the complete transfer of all council housing stock to local housing associations in 2007, as a result all social lets in the area are facilitated through registrations with River Clyde Homes and/or the Inverclyde Common Housing Register</w:t>
      </w:r>
      <w:r w:rsidR="00433C32">
        <w:t xml:space="preserve"> Housing Associations</w:t>
      </w:r>
      <w:r w:rsidR="00690FCC">
        <w:t>.</w:t>
      </w:r>
      <w:r w:rsidR="00E759FB">
        <w:t xml:space="preserve"> </w:t>
      </w:r>
    </w:p>
    <w:p w14:paraId="1B3DB0DA" w14:textId="42C4E8D7" w:rsidR="000F0EF9" w:rsidRDefault="00FF53DA" w:rsidP="001C5CF8">
      <w:pPr>
        <w:ind w:left="720" w:hanging="720"/>
        <w:jc w:val="both"/>
      </w:pPr>
      <w:r>
        <w:t xml:space="preserve">  </w:t>
      </w:r>
      <w:r w:rsidR="006F2BE2">
        <w:t>2.5.2</w:t>
      </w:r>
      <w:r w:rsidR="006F2BE2">
        <w:tab/>
        <w:t xml:space="preserve"> </w:t>
      </w:r>
      <w:r w:rsidR="00A30B1C">
        <w:t>In 2020/21 Inverclyde was observed as having one of the lowest rates of housing completions</w:t>
      </w:r>
      <w:r w:rsidR="006F2BE2">
        <w:t xml:space="preserve"> </w:t>
      </w:r>
      <w:r w:rsidR="00A30B1C">
        <w:t>across all tenures relative to population size</w:t>
      </w:r>
      <w:r w:rsidR="00690FCC">
        <w:t>,</w:t>
      </w:r>
      <w:r w:rsidR="00A30B1C">
        <w:t xml:space="preserve"> with 100% of new dwellings that year being private new builds</w:t>
      </w:r>
      <w:r w:rsidR="00E759FB" w:rsidRPr="00E759FB">
        <w:t xml:space="preserve"> </w:t>
      </w:r>
      <w:r w:rsidR="00E759FB">
        <w:t>indicating that Covid-19 had a major impact on the ability of housing association</w:t>
      </w:r>
      <w:r w:rsidR="00BE1E11">
        <w:t>s</w:t>
      </w:r>
      <w:r w:rsidR="00E759FB">
        <w:t xml:space="preserve"> to deliver an increased supply</w:t>
      </w:r>
      <w:r w:rsidR="00D063F5">
        <w:t xml:space="preserve"> of</w:t>
      </w:r>
      <w:r w:rsidR="00E759FB">
        <w:t xml:space="preserve"> affordable housing</w:t>
      </w:r>
      <w:r w:rsidR="00A427E3">
        <w:rPr>
          <w:rStyle w:val="FootnoteReference"/>
        </w:rPr>
        <w:footnoteReference w:id="1"/>
      </w:r>
      <w:r w:rsidR="00E759FB">
        <w:t xml:space="preserve">. </w:t>
      </w:r>
      <w:r w:rsidR="000F0EF9">
        <w:t>There is also a significant presence of private landlords in the area, a</w:t>
      </w:r>
      <w:r w:rsidR="007B67FA">
        <w:t>t approximately 2,000 landlords amounting to 13% of all housing stock in Inverclyde. T</w:t>
      </w:r>
      <w:r w:rsidR="000F0EF9">
        <w:t xml:space="preserve">his tenure however poses concerns for the local population in terms of affordability. </w:t>
      </w:r>
    </w:p>
    <w:p w14:paraId="3DB71F8E" w14:textId="77777777" w:rsidR="00500289" w:rsidRDefault="001F4B5D" w:rsidP="0060677D">
      <w:pPr>
        <w:ind w:left="720" w:hanging="720"/>
        <w:jc w:val="both"/>
        <w:rPr>
          <w:rFonts w:cs="Arial"/>
        </w:rPr>
      </w:pPr>
      <w:r w:rsidRPr="001F4B5D">
        <w:t xml:space="preserve">  2.5.</w:t>
      </w:r>
      <w:r>
        <w:t>3</w:t>
      </w:r>
      <w:r w:rsidRPr="001F4B5D">
        <w:tab/>
        <w:t>The economic context of Inverclyde presents challenges for the local population with the proportion of people earning less than the living wage in 2021/22 being higher than the national average at 20.3% compared to 14.4% in Scotland as a whole. The area also has a higher percentage of the working age population claiming out-of-work benefits at 4.4%, with Scotland showing 3.7%, in the same year.</w:t>
      </w:r>
      <w:r w:rsidR="0060677D">
        <w:rPr>
          <w:rFonts w:cs="Arial"/>
        </w:rPr>
        <w:t xml:space="preserve"> </w:t>
      </w:r>
    </w:p>
    <w:p w14:paraId="487B3BF1" w14:textId="766B9225" w:rsidR="0060677D" w:rsidRDefault="00E27352" w:rsidP="0060677D">
      <w:pPr>
        <w:ind w:left="720" w:hanging="720"/>
        <w:jc w:val="both"/>
      </w:pPr>
      <w:r>
        <w:rPr>
          <w:rFonts w:cs="Arial"/>
        </w:rPr>
        <w:t xml:space="preserve"> </w:t>
      </w:r>
      <w:r w:rsidR="00500289">
        <w:rPr>
          <w:rFonts w:cs="Arial"/>
        </w:rPr>
        <w:t>2.5.4</w:t>
      </w:r>
      <w:r w:rsidR="00500289">
        <w:rPr>
          <w:rFonts w:cs="Arial"/>
        </w:rPr>
        <w:tab/>
      </w:r>
      <w:r w:rsidR="0060677D">
        <w:rPr>
          <w:rFonts w:cs="Arial"/>
        </w:rPr>
        <w:t>Average income in Inverclyde is £31,165 per annum</w:t>
      </w:r>
      <w:r>
        <w:rPr>
          <w:rFonts w:cs="Arial"/>
        </w:rPr>
        <w:t>,</w:t>
      </w:r>
      <w:r w:rsidR="0060677D">
        <w:rPr>
          <w:rFonts w:cs="Arial"/>
        </w:rPr>
        <w:t xml:space="preserve"> 21% below the Scottish average of £37,767. </w:t>
      </w:r>
      <w:r>
        <w:rPr>
          <w:rFonts w:cs="Arial"/>
        </w:rPr>
        <w:t>M</w:t>
      </w:r>
      <w:r w:rsidR="0060677D">
        <w:rPr>
          <w:rFonts w:cs="Arial"/>
        </w:rPr>
        <w:t>ore than half of the Inverclyde population (53%) earn less than £25,000 per annum with lower quartile incomes of £12,827.</w:t>
      </w:r>
      <w:r w:rsidR="0060677D" w:rsidRPr="0060677D">
        <w:rPr>
          <w:rFonts w:cs="Arial"/>
        </w:rPr>
        <w:t xml:space="preserve"> </w:t>
      </w:r>
      <w:r w:rsidR="0060677D" w:rsidRPr="00825E25">
        <w:rPr>
          <w:rFonts w:cs="Arial"/>
        </w:rPr>
        <w:t>A household requires to earn up to £</w:t>
      </w:r>
      <w:r w:rsidR="0060677D">
        <w:rPr>
          <w:rFonts w:cs="Arial"/>
        </w:rPr>
        <w:t>25,000</w:t>
      </w:r>
      <w:r w:rsidR="0060677D" w:rsidRPr="00825E25">
        <w:rPr>
          <w:rFonts w:cs="Arial"/>
        </w:rPr>
        <w:t xml:space="preserve"> to be able to afford the average market rent</w:t>
      </w:r>
      <w:r w:rsidR="0060677D">
        <w:rPr>
          <w:rFonts w:cs="Arial"/>
        </w:rPr>
        <w:t xml:space="preserve"> and up </w:t>
      </w:r>
      <w:r w:rsidR="0060677D" w:rsidRPr="0060677D">
        <w:rPr>
          <w:rFonts w:cs="Arial"/>
        </w:rPr>
        <w:t xml:space="preserve">to £23,450 to be able to afford the average PRS rent if they devote 30% of their income to housing costs. </w:t>
      </w:r>
    </w:p>
    <w:p w14:paraId="027B45CF" w14:textId="5B4496C1" w:rsidR="00646A3A" w:rsidRDefault="00646A3A" w:rsidP="00646A3A">
      <w:pPr>
        <w:ind w:left="720" w:hanging="720"/>
        <w:jc w:val="both"/>
      </w:pPr>
      <w:r w:rsidRPr="00646A3A">
        <w:t xml:space="preserve">  2.5.</w:t>
      </w:r>
      <w:r w:rsidR="00500289">
        <w:t>5</w:t>
      </w:r>
      <w:r w:rsidRPr="00646A3A">
        <w:tab/>
        <w:t xml:space="preserve"> The Scottish Index for Multiple Deprivation (SIMD) 2020 determined Greenock town centre as Scotland’s most deprived area and Inverclyde as the area with the largest local share of deprived areas, with 45% of data zones among the 20% most deprived areas in Scotland. The SIMD reports on deprivation relative to the indicators: income, employment, health, education, access to services, crime, and housing.</w:t>
      </w:r>
    </w:p>
    <w:p w14:paraId="28B6611B" w14:textId="61874112" w:rsidR="00011ABB" w:rsidRDefault="00FF53DA" w:rsidP="001C5CF8">
      <w:pPr>
        <w:ind w:left="720" w:hanging="720"/>
        <w:jc w:val="both"/>
      </w:pPr>
      <w:r>
        <w:t xml:space="preserve">  </w:t>
      </w:r>
      <w:r w:rsidR="006F2BE2">
        <w:t>2.5</w:t>
      </w:r>
      <w:r w:rsidR="001F4B5D">
        <w:t>.</w:t>
      </w:r>
      <w:r w:rsidR="00500289">
        <w:t>6</w:t>
      </w:r>
      <w:r w:rsidR="00D13F93">
        <w:tab/>
      </w:r>
      <w:r w:rsidR="000F0EF9" w:rsidRPr="000F0EF9">
        <w:t>Inverclyde’s proportion of vacant housing stock is 4.8%</w:t>
      </w:r>
      <w:r w:rsidR="008446E7">
        <w:t xml:space="preserve">, (1.4% classified as </w:t>
      </w:r>
      <w:r w:rsidR="00697FA0">
        <w:t>long-term</w:t>
      </w:r>
      <w:r w:rsidR="008446E7">
        <w:t xml:space="preserve"> empty)</w:t>
      </w:r>
      <w:r w:rsidR="008446E7" w:rsidRPr="000F0EF9">
        <w:t xml:space="preserve"> </w:t>
      </w:r>
      <w:r w:rsidR="008446E7">
        <w:t xml:space="preserve">compared to the national level of 3.3% </w:t>
      </w:r>
      <w:r w:rsidR="000F0EF9" w:rsidRPr="000F0EF9">
        <w:t>- amounting to just under 2,000 empty homes across the local authority.</w:t>
      </w:r>
      <w:r w:rsidR="008446E7">
        <w:t xml:space="preserve"> There is also a significant level of </w:t>
      </w:r>
      <w:r w:rsidR="00C347F3">
        <w:t xml:space="preserve">homes identified as ‘low demand’ properties, accounting for 20% of all social housing units in the area. </w:t>
      </w:r>
      <w:r w:rsidR="000F0EF9" w:rsidRPr="000F0EF9">
        <w:t xml:space="preserve"> Finding sustainable ways </w:t>
      </w:r>
      <w:r w:rsidR="000F0EF9" w:rsidRPr="000F0EF9">
        <w:lastRenderedPageBreak/>
        <w:t>of transforming existing low demand housing assets to provide housing options that local people aspire to is a</w:t>
      </w:r>
      <w:r w:rsidR="000F0EF9">
        <w:t>n</w:t>
      </w:r>
      <w:r w:rsidR="000F0EF9" w:rsidRPr="000F0EF9">
        <w:t xml:space="preserve"> objective of the new Local Housing Strategy.</w:t>
      </w:r>
      <w:r w:rsidR="007B67FA">
        <w:t xml:space="preserve"> The use of existing footprints as a viable housing option for those in urgent housing need is an ongoing goal of many local authorities</w:t>
      </w:r>
      <w:r w:rsidR="00A34FD9">
        <w:t xml:space="preserve">, in Inverclyde this applies to increasing the uptake of both low demand social properties and those in the Private Rented Sector. </w:t>
      </w:r>
    </w:p>
    <w:p w14:paraId="77B80E57" w14:textId="1782CAC7" w:rsidR="00E81C8B" w:rsidRDefault="00E81C8B" w:rsidP="001F4B5D">
      <w:pPr>
        <w:jc w:val="both"/>
      </w:pPr>
      <w:bookmarkStart w:id="1" w:name="_Hlk136937531"/>
    </w:p>
    <w:bookmarkEnd w:id="1"/>
    <w:p w14:paraId="224C36EB" w14:textId="2E3C22F1" w:rsidR="00102DB2" w:rsidRDefault="00FF53DA" w:rsidP="001C5CF8">
      <w:pPr>
        <w:ind w:left="720" w:hanging="720"/>
        <w:jc w:val="both"/>
      </w:pPr>
      <w:r>
        <w:t xml:space="preserve">  </w:t>
      </w:r>
      <w:r w:rsidR="006F2BE2">
        <w:t>2.5.</w:t>
      </w:r>
      <w:r w:rsidR="00500289">
        <w:t>7</w:t>
      </w:r>
      <w:r w:rsidR="006F2BE2">
        <w:t xml:space="preserve"> </w:t>
      </w:r>
      <w:r w:rsidR="006F2BE2">
        <w:tab/>
      </w:r>
      <w:r w:rsidR="00CA25C6" w:rsidRPr="00CA25C6">
        <w:t xml:space="preserve">Inverclyde, despite having a comparatively small homeless population to the other Scottish Local Authorities, has a prevalence of complex and habitual clients to the homeless service. The </w:t>
      </w:r>
      <w:r w:rsidR="00CC564C" w:rsidRPr="00CA25C6">
        <w:t>Ever-Homeless</w:t>
      </w:r>
      <w:r w:rsidR="00CA25C6" w:rsidRPr="00CA25C6">
        <w:t xml:space="preserve"> Cohort identified Inverclyde as having one of the highest proportions of homeless population</w:t>
      </w:r>
      <w:r w:rsidR="009A07EE">
        <w:t>s</w:t>
      </w:r>
      <w:r w:rsidR="00CA25C6" w:rsidRPr="00CA25C6">
        <w:t xml:space="preserve"> with drug, alcohol</w:t>
      </w:r>
      <w:r w:rsidR="00D442E1">
        <w:t>,</w:t>
      </w:r>
      <w:r w:rsidR="00CA25C6" w:rsidRPr="00CA25C6">
        <w:t xml:space="preserve"> and mental health issues, ranked the 3</w:t>
      </w:r>
      <w:r w:rsidR="00CA25C6" w:rsidRPr="002C5BA8">
        <w:rPr>
          <w:vertAlign w:val="superscript"/>
        </w:rPr>
        <w:t>rd</w:t>
      </w:r>
      <w:r w:rsidR="00CA25C6" w:rsidRPr="00CA25C6">
        <w:t xml:space="preserve"> highest out of all 32 Scottish Local Authorities. </w:t>
      </w:r>
    </w:p>
    <w:p w14:paraId="60E391D6" w14:textId="5072FFEA" w:rsidR="00102DB2" w:rsidRDefault="00FF53DA" w:rsidP="001C5CF8">
      <w:pPr>
        <w:ind w:left="720" w:hanging="720"/>
        <w:jc w:val="both"/>
      </w:pPr>
      <w:r>
        <w:t xml:space="preserve">  </w:t>
      </w:r>
      <w:r w:rsidR="006F2BE2">
        <w:t>2.5.</w:t>
      </w:r>
      <w:r w:rsidR="00500289">
        <w:t>8</w:t>
      </w:r>
      <w:r w:rsidR="006F2BE2">
        <w:t xml:space="preserve"> </w:t>
      </w:r>
      <w:r w:rsidR="006F2BE2">
        <w:tab/>
      </w:r>
      <w:r w:rsidR="00E759FB">
        <w:t>This context prov</w:t>
      </w:r>
      <w:r w:rsidR="00227370">
        <w:t xml:space="preserve">ides the argument that the issue </w:t>
      </w:r>
      <w:r w:rsidR="00E759FB">
        <w:t xml:space="preserve">of homelessness in Inverclyde is not restricted to a need for more affordable </w:t>
      </w:r>
      <w:r w:rsidR="00227370">
        <w:t>housing but also a need to address some of the underlying issues that are leading to homelessness within the local population</w:t>
      </w:r>
      <w:r w:rsidR="00D063F5">
        <w:t>, exasperated by the strains on local housing stock</w:t>
      </w:r>
      <w:r w:rsidR="00227370">
        <w:t xml:space="preserve">. </w:t>
      </w:r>
    </w:p>
    <w:p w14:paraId="086FA2E6" w14:textId="77777777" w:rsidR="005C1294" w:rsidRDefault="005C1294" w:rsidP="001C5CF8">
      <w:pPr>
        <w:ind w:left="720" w:hanging="720"/>
        <w:jc w:val="both"/>
      </w:pPr>
    </w:p>
    <w:p w14:paraId="6C6BD721" w14:textId="77777777" w:rsidR="00D52062" w:rsidRDefault="00D52062" w:rsidP="00D52062">
      <w:pPr>
        <w:rPr>
          <w:u w:val="single"/>
        </w:rPr>
      </w:pPr>
      <w:r w:rsidRPr="00D52062">
        <w:t xml:space="preserve">2.6 </w:t>
      </w:r>
      <w:r>
        <w:tab/>
      </w:r>
      <w:r w:rsidRPr="00D52062">
        <w:rPr>
          <w:u w:val="single"/>
        </w:rPr>
        <w:t>Challenges</w:t>
      </w:r>
    </w:p>
    <w:p w14:paraId="0029082D" w14:textId="7F32C578" w:rsidR="00474EC4" w:rsidRDefault="00474EC4" w:rsidP="00526848">
      <w:pPr>
        <w:pStyle w:val="ListParagraph"/>
      </w:pPr>
      <w:r>
        <w:t xml:space="preserve">Like many local authorities, Inverclyde has faced </w:t>
      </w:r>
      <w:r w:rsidR="00D442E1">
        <w:t>several</w:t>
      </w:r>
      <w:r>
        <w:t xml:space="preserve"> challenges since the inception of the plan. Listed in this section ar</w:t>
      </w:r>
      <w:r w:rsidR="00D442E1">
        <w:t>e</w:t>
      </w:r>
      <w:r>
        <w:t xml:space="preserve"> some of the challenges the service has observed and </w:t>
      </w:r>
      <w:r w:rsidR="00D442E1">
        <w:t>the</w:t>
      </w:r>
      <w:r>
        <w:t xml:space="preserve"> intended response. </w:t>
      </w:r>
    </w:p>
    <w:p w14:paraId="412B4B23" w14:textId="77777777" w:rsidR="00474EC4" w:rsidRDefault="00474EC4" w:rsidP="001C5CF8">
      <w:pPr>
        <w:pStyle w:val="ListParagraph"/>
        <w:ind w:left="1440"/>
        <w:jc w:val="both"/>
      </w:pPr>
    </w:p>
    <w:p w14:paraId="34EE5EAD" w14:textId="612AD8D2" w:rsidR="00D52062" w:rsidRDefault="00735CA5">
      <w:pPr>
        <w:pStyle w:val="ListParagraph"/>
        <w:numPr>
          <w:ilvl w:val="2"/>
          <w:numId w:val="13"/>
        </w:numPr>
        <w:jc w:val="both"/>
      </w:pPr>
      <w:r>
        <w:t xml:space="preserve">Maintaining </w:t>
      </w:r>
      <w:r w:rsidR="00BD7CA6">
        <w:t>t</w:t>
      </w:r>
      <w:r w:rsidR="00B20019">
        <w:t xml:space="preserve">emporary accommodation supply – </w:t>
      </w:r>
      <w:r w:rsidR="00B77F79">
        <w:t>T</w:t>
      </w:r>
      <w:r>
        <w:t>his will likely</w:t>
      </w:r>
      <w:r w:rsidR="00D442E1">
        <w:t xml:space="preserve"> increase during the process of</w:t>
      </w:r>
      <w:r>
        <w:t xml:space="preserve"> decommissio</w:t>
      </w:r>
      <w:r w:rsidR="00D442E1">
        <w:t xml:space="preserve">ning </w:t>
      </w:r>
      <w:r w:rsidR="00607828">
        <w:t>the Inverclyde Centre which provide</w:t>
      </w:r>
      <w:r w:rsidR="007E65A0">
        <w:t>d</w:t>
      </w:r>
      <w:r w:rsidR="00607828">
        <w:t xml:space="preserve"> </w:t>
      </w:r>
      <w:r w:rsidR="00736F91">
        <w:t>3</w:t>
      </w:r>
      <w:r w:rsidR="00607828">
        <w:t>0 units of hostel accommodation</w:t>
      </w:r>
      <w:r w:rsidR="00646A3A">
        <w:t xml:space="preserve"> – now down to 23, with 7 room closures now complete</w:t>
      </w:r>
      <w:r w:rsidR="00B77F79">
        <w:t xml:space="preserve">. </w:t>
      </w:r>
      <w:r w:rsidR="00D442E1" w:rsidRPr="00D442E1">
        <w:t xml:space="preserve">Converting temporary occupancy agreements to Scottish Secure Tenancies, or flipping, </w:t>
      </w:r>
      <w:r w:rsidR="00D442E1">
        <w:t>additionally</w:t>
      </w:r>
      <w:r w:rsidR="00736F91">
        <w:t xml:space="preserve"> requires a reliance of RSL partners to provide a replacement of temporary accommodation units. </w:t>
      </w:r>
      <w:r w:rsidR="00B77F79">
        <w:t>The widening use of</w:t>
      </w:r>
      <w:r w:rsidR="00BD7CA6">
        <w:t xml:space="preserve"> existing</w:t>
      </w:r>
      <w:r w:rsidR="00B77F79">
        <w:t xml:space="preserve"> housing options in the local area, including improv</w:t>
      </w:r>
      <w:r w:rsidR="00BD7CA6">
        <w:t>ed</w:t>
      </w:r>
      <w:r w:rsidR="00B77F79">
        <w:t xml:space="preserve"> partnerships with the PRS could potentially solve some issues around maintaining a consistent and improved supply of temporary accommodation. </w:t>
      </w:r>
    </w:p>
    <w:p w14:paraId="37B2D65C" w14:textId="77777777" w:rsidR="00126CB6" w:rsidRDefault="00126CB6" w:rsidP="00126CB6">
      <w:pPr>
        <w:pStyle w:val="ListParagraph"/>
        <w:ind w:left="1080"/>
      </w:pPr>
    </w:p>
    <w:p w14:paraId="48649526" w14:textId="19A278B7" w:rsidR="002C5BA8" w:rsidRDefault="004605FA" w:rsidP="007E65A0">
      <w:pPr>
        <w:pStyle w:val="ListParagraph"/>
        <w:numPr>
          <w:ilvl w:val="2"/>
          <w:numId w:val="13"/>
        </w:numPr>
        <w:jc w:val="both"/>
      </w:pPr>
      <w:r>
        <w:t xml:space="preserve">Access to settled housing – </w:t>
      </w:r>
      <w:r w:rsidR="00B77F79">
        <w:t xml:space="preserve">this factor is </w:t>
      </w:r>
      <w:r>
        <w:t>particularly challengin</w:t>
      </w:r>
      <w:r w:rsidR="00B77F79">
        <w:t xml:space="preserve">g as a stock transfer authority, requiring an innovative approach to tackle stress on local housing. </w:t>
      </w:r>
      <w:r w:rsidR="00D442E1">
        <w:t xml:space="preserve">Consideration is being given to implementing a similar approach to the Finnish </w:t>
      </w:r>
      <w:r w:rsidR="00B77F79">
        <w:t>Housing First</w:t>
      </w:r>
      <w:r w:rsidR="00D442E1">
        <w:t xml:space="preserve"> model.</w:t>
      </w:r>
      <w:r w:rsidR="004F2D19">
        <w:rPr>
          <w:rStyle w:val="FootnoteReference"/>
        </w:rPr>
        <w:footnoteReference w:id="2"/>
      </w:r>
    </w:p>
    <w:p w14:paraId="53670FA5" w14:textId="77777777" w:rsidR="00126CB6" w:rsidRDefault="00126CB6" w:rsidP="00126CB6">
      <w:pPr>
        <w:pStyle w:val="ListParagraph"/>
      </w:pPr>
    </w:p>
    <w:p w14:paraId="1E799422" w14:textId="03D998C3" w:rsidR="007E65A0" w:rsidRDefault="00735CA5" w:rsidP="007E65A0">
      <w:pPr>
        <w:pStyle w:val="ListParagraph"/>
        <w:numPr>
          <w:ilvl w:val="2"/>
          <w:numId w:val="13"/>
        </w:numPr>
        <w:jc w:val="both"/>
      </w:pPr>
      <w:r>
        <w:t>Long term homelessness due to lack of appropr</w:t>
      </w:r>
      <w:r w:rsidR="004B46F7">
        <w:t xml:space="preserve">iate housing </w:t>
      </w:r>
      <w:r w:rsidR="00D442E1">
        <w:t xml:space="preserve">is a particular challenge in </w:t>
      </w:r>
      <w:r w:rsidR="00B77F79">
        <w:t>Inverclyde</w:t>
      </w:r>
      <w:r w:rsidR="00D442E1">
        <w:t xml:space="preserve">. Several clients </w:t>
      </w:r>
      <w:r w:rsidR="00BD7CA6">
        <w:t>to the service</w:t>
      </w:r>
      <w:r>
        <w:t xml:space="preserve"> </w:t>
      </w:r>
      <w:r w:rsidR="00D442E1">
        <w:t>have</w:t>
      </w:r>
      <w:r>
        <w:t xml:space="preserve"> very complex needs </w:t>
      </w:r>
      <w:r w:rsidR="00563E69">
        <w:t>where</w:t>
      </w:r>
      <w:r>
        <w:t xml:space="preserve"> an inde</w:t>
      </w:r>
      <w:r w:rsidR="00B77F79">
        <w:t xml:space="preserve">pendent tenancy </w:t>
      </w:r>
      <w:r w:rsidR="00BD7CA6">
        <w:t xml:space="preserve">may not be immediately </w:t>
      </w:r>
      <w:r w:rsidR="00B77F79">
        <w:t>suitable</w:t>
      </w:r>
      <w:r w:rsidR="00BD7CA6">
        <w:t xml:space="preserve"> or desirable for the individual</w:t>
      </w:r>
      <w:r w:rsidR="00B77F79">
        <w:t>. There is a clear</w:t>
      </w:r>
      <w:r>
        <w:t xml:space="preserve"> need for more specialist housing in the area</w:t>
      </w:r>
      <w:r w:rsidR="00B77F79">
        <w:t xml:space="preserve"> which is where the innovative approaches such as those undertaken by the Nordic</w:t>
      </w:r>
      <w:r w:rsidR="00DA2949">
        <w:t xml:space="preserve"> Homelessness</w:t>
      </w:r>
      <w:r w:rsidR="00B77F79">
        <w:t xml:space="preserve"> Alliance are of particular interest.</w:t>
      </w:r>
      <w:r w:rsidR="004F2D19">
        <w:rPr>
          <w:rStyle w:val="FootnoteReference"/>
        </w:rPr>
        <w:footnoteReference w:id="3"/>
      </w:r>
      <w:r w:rsidR="004F2D19">
        <w:t xml:space="preserve"> </w:t>
      </w:r>
      <w:r w:rsidR="004B46F7">
        <w:t xml:space="preserve">The service is considering the viability of these approaches for this local authority. </w:t>
      </w:r>
    </w:p>
    <w:p w14:paraId="0979BDF8" w14:textId="77777777" w:rsidR="007E65A0" w:rsidRDefault="007E65A0" w:rsidP="007E65A0">
      <w:pPr>
        <w:pStyle w:val="ListParagraph"/>
        <w:ind w:left="1080"/>
        <w:jc w:val="both"/>
      </w:pPr>
    </w:p>
    <w:p w14:paraId="47FB6B9C" w14:textId="77777777" w:rsidR="007E65A0" w:rsidRDefault="001509B9" w:rsidP="00561056">
      <w:pPr>
        <w:pStyle w:val="ListParagraph"/>
        <w:numPr>
          <w:ilvl w:val="2"/>
          <w:numId w:val="13"/>
        </w:numPr>
        <w:jc w:val="both"/>
      </w:pPr>
      <w:r>
        <w:t xml:space="preserve">Staff shortages </w:t>
      </w:r>
      <w:bookmarkStart w:id="2" w:name="_Hlk135748912"/>
      <w:r w:rsidR="00BD7CA6">
        <w:t xml:space="preserve">and service capacity </w:t>
      </w:r>
      <w:r>
        <w:t>–</w:t>
      </w:r>
      <w:bookmarkEnd w:id="2"/>
      <w:r>
        <w:t xml:space="preserve"> There have been s</w:t>
      </w:r>
      <w:r w:rsidR="00735CA5">
        <w:t xml:space="preserve">ignificant staff shortages consistently throughout the service, </w:t>
      </w:r>
      <w:r>
        <w:t>impacting on void turnover times etc. Other local authorities have also pointed to issues around staff recruitment and retention.</w:t>
      </w:r>
      <w:r>
        <w:rPr>
          <w:rStyle w:val="FootnoteReference"/>
        </w:rPr>
        <w:footnoteReference w:id="4"/>
      </w:r>
      <w:r>
        <w:t xml:space="preserve"> As part of </w:t>
      </w:r>
      <w:r w:rsidR="001C5CF8">
        <w:t>the</w:t>
      </w:r>
      <w:r>
        <w:t xml:space="preserve"> Change </w:t>
      </w:r>
      <w:r w:rsidR="005C1294">
        <w:t>Programme, a</w:t>
      </w:r>
      <w:r>
        <w:t xml:space="preserve"> r</w:t>
      </w:r>
      <w:r w:rsidR="00607828" w:rsidRPr="001509B9">
        <w:t>e-structure</w:t>
      </w:r>
      <w:r w:rsidR="001C5CF8">
        <w:t xml:space="preserve">d staffing model within the </w:t>
      </w:r>
      <w:r w:rsidR="00607828" w:rsidRPr="001509B9">
        <w:t>Accommodation Team and revised working patterns</w:t>
      </w:r>
      <w:r w:rsidR="005C1294">
        <w:t xml:space="preserve"> to</w:t>
      </w:r>
      <w:r w:rsidR="001C5CF8">
        <w:t xml:space="preserve"> improve on staff wellbeing and </w:t>
      </w:r>
      <w:r>
        <w:t>working conditions</w:t>
      </w:r>
      <w:r w:rsidR="001C5CF8">
        <w:t xml:space="preserve"> is being developed</w:t>
      </w:r>
      <w:r w:rsidR="005C1294">
        <w:t xml:space="preserve">. </w:t>
      </w:r>
    </w:p>
    <w:p w14:paraId="135C2C8C" w14:textId="77777777" w:rsidR="007E65A0" w:rsidRDefault="007E65A0" w:rsidP="007E65A0">
      <w:pPr>
        <w:pStyle w:val="ListParagraph"/>
      </w:pPr>
    </w:p>
    <w:p w14:paraId="743EF5F7" w14:textId="4DC63566" w:rsidR="002C5BA8" w:rsidRDefault="00CC0DEB" w:rsidP="00561056">
      <w:pPr>
        <w:pStyle w:val="ListParagraph"/>
        <w:numPr>
          <w:ilvl w:val="2"/>
          <w:numId w:val="13"/>
        </w:numPr>
        <w:jc w:val="both"/>
      </w:pPr>
      <w:r>
        <w:t>In addition, t</w:t>
      </w:r>
      <w:r w:rsidR="00BD7CA6">
        <w:t xml:space="preserve">he creation of </w:t>
      </w:r>
      <w:r w:rsidR="001C5CF8">
        <w:t>the</w:t>
      </w:r>
      <w:r w:rsidR="00BD7CA6">
        <w:t xml:space="preserve"> Rapid Rehousing Support </w:t>
      </w:r>
      <w:r w:rsidR="001C5CF8">
        <w:t xml:space="preserve">Team </w:t>
      </w:r>
      <w:r w:rsidR="00BD7CA6">
        <w:t xml:space="preserve">has </w:t>
      </w:r>
      <w:r w:rsidR="001C5CF8">
        <w:t xml:space="preserve">alleviated stress on </w:t>
      </w:r>
      <w:r w:rsidR="005C1294">
        <w:t xml:space="preserve">other teams </w:t>
      </w:r>
      <w:r w:rsidR="001C5CF8">
        <w:t>and provides</w:t>
      </w:r>
      <w:r w:rsidR="00BD7CA6">
        <w:t xml:space="preserve"> opportunities for targeted</w:t>
      </w:r>
      <w:r w:rsidR="001C5CF8">
        <w:t xml:space="preserve">, </w:t>
      </w:r>
      <w:r w:rsidR="00BD7CA6">
        <w:t xml:space="preserve">personalised support for </w:t>
      </w:r>
      <w:r w:rsidR="001C5CF8">
        <w:t>people using the service</w:t>
      </w:r>
      <w:r w:rsidR="005C1294">
        <w:t>, further allowing the Accommodation Team to focus more fully on specific property related issues.</w:t>
      </w:r>
    </w:p>
    <w:p w14:paraId="35EB19AB" w14:textId="77777777" w:rsidR="00BB7385" w:rsidRDefault="00BB7385" w:rsidP="00BB7385">
      <w:pPr>
        <w:pStyle w:val="ListParagraph"/>
      </w:pPr>
    </w:p>
    <w:p w14:paraId="70CE5984" w14:textId="3DBA8493" w:rsidR="00BB7385" w:rsidRDefault="00BB7385">
      <w:pPr>
        <w:pStyle w:val="ListParagraph"/>
        <w:numPr>
          <w:ilvl w:val="2"/>
          <w:numId w:val="13"/>
        </w:numPr>
      </w:pPr>
      <w:r w:rsidRPr="00BB7385">
        <w:t>Funding shortfalls</w:t>
      </w:r>
      <w:r>
        <w:t xml:space="preserve"> – </w:t>
      </w:r>
      <w:r w:rsidRPr="00BB7385">
        <w:t>access to funding</w:t>
      </w:r>
      <w:r>
        <w:t xml:space="preserve"> through grants</w:t>
      </w:r>
      <w:r w:rsidRPr="00BB7385">
        <w:t xml:space="preserve"> </w:t>
      </w:r>
      <w:r>
        <w:t>(</w:t>
      </w:r>
      <w:r w:rsidR="00D442E1">
        <w:t>i.e.,</w:t>
      </w:r>
      <w:r>
        <w:t xml:space="preserve"> </w:t>
      </w:r>
      <w:r w:rsidRPr="00BB7385">
        <w:t>S</w:t>
      </w:r>
      <w:r w:rsidR="001C5CF8">
        <w:t xml:space="preserve">cottish </w:t>
      </w:r>
      <w:r w:rsidRPr="00BB7385">
        <w:t>W</w:t>
      </w:r>
      <w:r w:rsidR="001C5CF8">
        <w:t xml:space="preserve">elfare </w:t>
      </w:r>
      <w:r w:rsidRPr="00BB7385">
        <w:t>F</w:t>
      </w:r>
      <w:r w:rsidR="001C5CF8">
        <w:t>und</w:t>
      </w:r>
      <w:r w:rsidRPr="00BB7385">
        <w:t xml:space="preserve"> and Crisis grant</w:t>
      </w:r>
      <w:r>
        <w:t>s)</w:t>
      </w:r>
      <w:r w:rsidRPr="00BB7385">
        <w:t xml:space="preserve"> </w:t>
      </w:r>
      <w:r w:rsidR="001C5CF8">
        <w:t>is increasingly challenging.  F</w:t>
      </w:r>
      <w:r>
        <w:t>unding for items</w:t>
      </w:r>
      <w:r w:rsidR="00BD7CA6">
        <w:t xml:space="preserve"> such as</w:t>
      </w:r>
      <w:r>
        <w:t xml:space="preserve"> carpets and washing machines</w:t>
      </w:r>
      <w:r w:rsidR="00A16EF8">
        <w:t xml:space="preserve"> are usually </w:t>
      </w:r>
      <w:r>
        <w:t>deemed unessential</w:t>
      </w:r>
      <w:r w:rsidR="00A16EF8">
        <w:t xml:space="preserve">.  In addition, those who have been </w:t>
      </w:r>
      <w:r>
        <w:t>repeat</w:t>
      </w:r>
      <w:r w:rsidR="00A16EF8">
        <w:t>edly</w:t>
      </w:r>
      <w:r>
        <w:t xml:space="preserve"> homelessness,</w:t>
      </w:r>
      <w:r w:rsidR="00A16EF8">
        <w:t xml:space="preserve"> and who </w:t>
      </w:r>
      <w:r>
        <w:t>have accessed this funding in the past</w:t>
      </w:r>
      <w:r w:rsidR="00A16EF8">
        <w:t xml:space="preserve"> are often now no longer entitled to this funding.  </w:t>
      </w:r>
      <w:r>
        <w:t xml:space="preserve">Inverclyde </w:t>
      </w:r>
      <w:r w:rsidRPr="00BB7385">
        <w:t>ha</w:t>
      </w:r>
      <w:r w:rsidR="00BD7CA6">
        <w:t>s</w:t>
      </w:r>
      <w:r w:rsidRPr="00BB7385">
        <w:t xml:space="preserve"> </w:t>
      </w:r>
      <w:r>
        <w:t>allocated</w:t>
      </w:r>
      <w:r w:rsidR="00A16EF8">
        <w:t xml:space="preserve"> part of the</w:t>
      </w:r>
      <w:r>
        <w:t xml:space="preserve"> </w:t>
      </w:r>
      <w:r w:rsidRPr="00BB7385">
        <w:t>RRTP funding</w:t>
      </w:r>
      <w:r w:rsidR="00A16EF8">
        <w:t xml:space="preserve"> to continue to support these items</w:t>
      </w:r>
      <w:r w:rsidRPr="00BB7385">
        <w:t xml:space="preserve"> </w:t>
      </w:r>
      <w:r w:rsidR="00D442E1">
        <w:t xml:space="preserve">with the aim of improving tenancy sustainment. </w:t>
      </w:r>
      <w:r>
        <w:t xml:space="preserve"> </w:t>
      </w:r>
    </w:p>
    <w:p w14:paraId="2E6F0190" w14:textId="77777777" w:rsidR="002C5BA8" w:rsidRDefault="002C5BA8" w:rsidP="002C5BA8">
      <w:pPr>
        <w:pStyle w:val="ListParagraph"/>
      </w:pPr>
    </w:p>
    <w:p w14:paraId="4C52D613" w14:textId="77777777" w:rsidR="00BB7385" w:rsidRDefault="00BB7385" w:rsidP="00BB7385">
      <w:pPr>
        <w:pStyle w:val="ListParagraph"/>
      </w:pPr>
    </w:p>
    <w:p w14:paraId="4A689CC2" w14:textId="77777777" w:rsidR="00B67368" w:rsidRDefault="00B67368">
      <w:pPr>
        <w:pStyle w:val="ListParagraph"/>
        <w:numPr>
          <w:ilvl w:val="0"/>
          <w:numId w:val="10"/>
        </w:numPr>
        <w:rPr>
          <w:b/>
        </w:rPr>
      </w:pPr>
      <w:r w:rsidRPr="00054BAC">
        <w:rPr>
          <w:noProof/>
          <w:lang w:eastAsia="en-GB"/>
        </w:rPr>
        <mc:AlternateContent>
          <mc:Choice Requires="wps">
            <w:drawing>
              <wp:anchor distT="91440" distB="91440" distL="114300" distR="114300" simplePos="0" relativeHeight="251659264" behindDoc="0" locked="0" layoutInCell="1" allowOverlap="1" wp14:anchorId="25ED6C92" wp14:editId="206AE69F">
                <wp:simplePos x="0" y="0"/>
                <wp:positionH relativeFrom="page">
                  <wp:posOffset>1272540</wp:posOffset>
                </wp:positionH>
                <wp:positionV relativeFrom="paragraph">
                  <wp:posOffset>516890</wp:posOffset>
                </wp:positionV>
                <wp:extent cx="5728335" cy="1407160"/>
                <wp:effectExtent l="0" t="0" r="0" b="25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407160"/>
                        </a:xfrm>
                        <a:prstGeom prst="rect">
                          <a:avLst/>
                        </a:prstGeom>
                        <a:noFill/>
                        <a:ln w="9525">
                          <a:noFill/>
                          <a:miter lim="800000"/>
                          <a:headEnd/>
                          <a:tailEnd/>
                        </a:ln>
                      </wps:spPr>
                      <wps:txbx>
                        <w:txbxContent>
                          <w:p w14:paraId="12F358B4" w14:textId="77777777" w:rsidR="004C0284" w:rsidRDefault="00054BA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Summary of Inverclyde 2022/23 Homeless Position </w:t>
                            </w:r>
                          </w:p>
                          <w:p w14:paraId="3A20F669" w14:textId="3D48892D" w:rsidR="00054BAC" w:rsidRPr="004C0284" w:rsidRDefault="004C0284">
                            <w:pPr>
                              <w:pBdr>
                                <w:top w:val="single" w:sz="24" w:space="8" w:color="5B9BD5" w:themeColor="accent1"/>
                                <w:bottom w:val="single" w:sz="24" w:space="8" w:color="5B9BD5" w:themeColor="accent1"/>
                              </w:pBdr>
                              <w:spacing w:after="0"/>
                              <w:rPr>
                                <w:i/>
                                <w:iCs/>
                                <w:color w:val="5B9BD5" w:themeColor="accent1"/>
                                <w:sz w:val="24"/>
                                <w:szCs w:val="24"/>
                              </w:rPr>
                            </w:pPr>
                            <w:r w:rsidRPr="004C0284">
                              <w:rPr>
                                <w:i/>
                                <w:iCs/>
                                <w:color w:val="5B9BD5" w:themeColor="accent1"/>
                                <w:sz w:val="24"/>
                                <w:szCs w:val="24"/>
                              </w:rPr>
                              <w:t>292</w:t>
                            </w:r>
                            <w:r w:rsidR="00054BAC" w:rsidRPr="004C0284">
                              <w:rPr>
                                <w:i/>
                                <w:iCs/>
                                <w:color w:val="5B9BD5" w:themeColor="accent1"/>
                                <w:sz w:val="24"/>
                              </w:rPr>
                              <w:t xml:space="preserve"> Homeless applicants in Inverclyde this year</w:t>
                            </w:r>
                          </w:p>
                          <w:p w14:paraId="1D99EA8C" w14:textId="29D80D99" w:rsidR="00054BAC" w:rsidRPr="004C0284" w:rsidRDefault="004C0284">
                            <w:pPr>
                              <w:pBdr>
                                <w:top w:val="single" w:sz="24" w:space="8" w:color="5B9BD5" w:themeColor="accent1"/>
                                <w:bottom w:val="single" w:sz="24" w:space="8" w:color="5B9BD5" w:themeColor="accent1"/>
                              </w:pBdr>
                              <w:spacing w:after="0"/>
                              <w:rPr>
                                <w:i/>
                                <w:iCs/>
                                <w:color w:val="5B9BD5" w:themeColor="accent1"/>
                                <w:sz w:val="24"/>
                              </w:rPr>
                            </w:pPr>
                            <w:r w:rsidRPr="004C0284">
                              <w:rPr>
                                <w:i/>
                                <w:iCs/>
                                <w:color w:val="5B9BD5" w:themeColor="accent1"/>
                                <w:sz w:val="24"/>
                              </w:rPr>
                              <w:t>271</w:t>
                            </w:r>
                            <w:r w:rsidR="00054BAC" w:rsidRPr="004C0284">
                              <w:rPr>
                                <w:i/>
                                <w:iCs/>
                                <w:color w:val="5B9BD5" w:themeColor="accent1"/>
                                <w:sz w:val="24"/>
                              </w:rPr>
                              <w:t xml:space="preserve"> Households where Inverclyde Council had a duty to provide settled accommodation defined here as unintentionally homeless</w:t>
                            </w:r>
                          </w:p>
                          <w:p w14:paraId="34C7AC84" w14:textId="0A402D4A" w:rsidR="00054BAC" w:rsidRPr="004C0284" w:rsidRDefault="004C0284">
                            <w:pPr>
                              <w:pBdr>
                                <w:top w:val="single" w:sz="24" w:space="8" w:color="5B9BD5" w:themeColor="accent1"/>
                                <w:bottom w:val="single" w:sz="24" w:space="8" w:color="5B9BD5" w:themeColor="accent1"/>
                              </w:pBdr>
                              <w:spacing w:after="0"/>
                              <w:rPr>
                                <w:i/>
                                <w:iCs/>
                                <w:color w:val="5B9BD5" w:themeColor="accent1"/>
                                <w:sz w:val="24"/>
                              </w:rPr>
                            </w:pPr>
                            <w:r w:rsidRPr="004C0284">
                              <w:rPr>
                                <w:i/>
                                <w:iCs/>
                                <w:color w:val="5B9BD5" w:themeColor="accent1"/>
                                <w:sz w:val="24"/>
                              </w:rPr>
                              <w:t>1</w:t>
                            </w:r>
                            <w:r w:rsidR="00A0507A">
                              <w:rPr>
                                <w:i/>
                                <w:iCs/>
                                <w:color w:val="5B9BD5" w:themeColor="accent1"/>
                                <w:sz w:val="24"/>
                              </w:rPr>
                              <w:t>13</w:t>
                            </w:r>
                            <w:r w:rsidR="00054BAC" w:rsidRPr="004C0284">
                              <w:rPr>
                                <w:i/>
                                <w:iCs/>
                                <w:color w:val="5B9BD5" w:themeColor="accent1"/>
                                <w:sz w:val="24"/>
                              </w:rPr>
                              <w:t xml:space="preserve"> open cases with a duty to provide settled accommodation as of 31</w:t>
                            </w:r>
                            <w:r w:rsidR="00054BAC" w:rsidRPr="004C0284">
                              <w:rPr>
                                <w:i/>
                                <w:iCs/>
                                <w:color w:val="5B9BD5" w:themeColor="accent1"/>
                                <w:sz w:val="24"/>
                                <w:vertAlign w:val="superscript"/>
                              </w:rPr>
                              <w:t>st</w:t>
                            </w:r>
                            <w:r w:rsidR="00054BAC" w:rsidRPr="004C0284">
                              <w:rPr>
                                <w:i/>
                                <w:iCs/>
                                <w:color w:val="5B9BD5" w:themeColor="accent1"/>
                                <w:sz w:val="24"/>
                              </w:rPr>
                              <w:t xml:space="preserve"> 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D6C92" id="_x0000_s1028" type="#_x0000_t202" style="position:absolute;left:0;text-align:left;margin-left:100.2pt;margin-top:40.7pt;width:451.05pt;height:110.8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" filled="f" stroked="f">
                <v:textbox>
                  <w:txbxContent>
                    <w:p w14:paraId="12F358B4" w14:textId="77777777" w:rsidR="004C0284" w:rsidRDefault="00054BA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Summary of Inverclyde 2022/23 Homeless Position </w:t>
                      </w:r>
                    </w:p>
                    <w:p w14:paraId="3A20F669" w14:textId="3D48892D" w:rsidR="00054BAC" w:rsidRPr="004C0284" w:rsidRDefault="004C0284">
                      <w:pPr>
                        <w:pBdr>
                          <w:top w:val="single" w:sz="24" w:space="8" w:color="5B9BD5" w:themeColor="accent1"/>
                          <w:bottom w:val="single" w:sz="24" w:space="8" w:color="5B9BD5" w:themeColor="accent1"/>
                        </w:pBdr>
                        <w:spacing w:after="0"/>
                        <w:rPr>
                          <w:i/>
                          <w:iCs/>
                          <w:color w:val="5B9BD5" w:themeColor="accent1"/>
                          <w:sz w:val="24"/>
                          <w:szCs w:val="24"/>
                        </w:rPr>
                      </w:pPr>
                      <w:r w:rsidRPr="004C0284">
                        <w:rPr>
                          <w:i/>
                          <w:iCs/>
                          <w:color w:val="5B9BD5" w:themeColor="accent1"/>
                          <w:sz w:val="24"/>
                          <w:szCs w:val="24"/>
                        </w:rPr>
                        <w:t>292</w:t>
                      </w:r>
                      <w:r w:rsidR="00054BAC" w:rsidRPr="004C0284">
                        <w:rPr>
                          <w:i/>
                          <w:iCs/>
                          <w:color w:val="5B9BD5" w:themeColor="accent1"/>
                          <w:sz w:val="24"/>
                        </w:rPr>
                        <w:t xml:space="preserve"> Homeless applicants in Inverclyde this year</w:t>
                      </w:r>
                    </w:p>
                    <w:p w14:paraId="1D99EA8C" w14:textId="29D80D99" w:rsidR="00054BAC" w:rsidRPr="004C0284" w:rsidRDefault="004C0284">
                      <w:pPr>
                        <w:pBdr>
                          <w:top w:val="single" w:sz="24" w:space="8" w:color="5B9BD5" w:themeColor="accent1"/>
                          <w:bottom w:val="single" w:sz="24" w:space="8" w:color="5B9BD5" w:themeColor="accent1"/>
                        </w:pBdr>
                        <w:spacing w:after="0"/>
                        <w:rPr>
                          <w:i/>
                          <w:iCs/>
                          <w:color w:val="5B9BD5" w:themeColor="accent1"/>
                          <w:sz w:val="24"/>
                        </w:rPr>
                      </w:pPr>
                      <w:r w:rsidRPr="004C0284">
                        <w:rPr>
                          <w:i/>
                          <w:iCs/>
                          <w:color w:val="5B9BD5" w:themeColor="accent1"/>
                          <w:sz w:val="24"/>
                        </w:rPr>
                        <w:t>271</w:t>
                      </w:r>
                      <w:r w:rsidR="00054BAC" w:rsidRPr="004C0284">
                        <w:rPr>
                          <w:i/>
                          <w:iCs/>
                          <w:color w:val="5B9BD5" w:themeColor="accent1"/>
                          <w:sz w:val="24"/>
                        </w:rPr>
                        <w:t xml:space="preserve"> Households where Inverclyde Council had a duty to provide settled accommodation defined here as unintentionally homeless</w:t>
                      </w:r>
                    </w:p>
                    <w:p w14:paraId="34C7AC84" w14:textId="0A402D4A" w:rsidR="00054BAC" w:rsidRPr="004C0284" w:rsidRDefault="004C0284">
                      <w:pPr>
                        <w:pBdr>
                          <w:top w:val="single" w:sz="24" w:space="8" w:color="5B9BD5" w:themeColor="accent1"/>
                          <w:bottom w:val="single" w:sz="24" w:space="8" w:color="5B9BD5" w:themeColor="accent1"/>
                        </w:pBdr>
                        <w:spacing w:after="0"/>
                        <w:rPr>
                          <w:i/>
                          <w:iCs/>
                          <w:color w:val="5B9BD5" w:themeColor="accent1"/>
                          <w:sz w:val="24"/>
                        </w:rPr>
                      </w:pPr>
                      <w:r w:rsidRPr="004C0284">
                        <w:rPr>
                          <w:i/>
                          <w:iCs/>
                          <w:color w:val="5B9BD5" w:themeColor="accent1"/>
                          <w:sz w:val="24"/>
                        </w:rPr>
                        <w:t>1</w:t>
                      </w:r>
                      <w:r w:rsidR="00A0507A">
                        <w:rPr>
                          <w:i/>
                          <w:iCs/>
                          <w:color w:val="5B9BD5" w:themeColor="accent1"/>
                          <w:sz w:val="24"/>
                        </w:rPr>
                        <w:t>13</w:t>
                      </w:r>
                      <w:r w:rsidR="00054BAC" w:rsidRPr="004C0284">
                        <w:rPr>
                          <w:i/>
                          <w:iCs/>
                          <w:color w:val="5B9BD5" w:themeColor="accent1"/>
                          <w:sz w:val="24"/>
                        </w:rPr>
                        <w:t xml:space="preserve"> open cases with a duty to provide settled accommodation as of 31</w:t>
                      </w:r>
                      <w:r w:rsidR="00054BAC" w:rsidRPr="004C0284">
                        <w:rPr>
                          <w:i/>
                          <w:iCs/>
                          <w:color w:val="5B9BD5" w:themeColor="accent1"/>
                          <w:sz w:val="24"/>
                          <w:vertAlign w:val="superscript"/>
                        </w:rPr>
                        <w:t>st</w:t>
                      </w:r>
                      <w:r w:rsidR="00054BAC" w:rsidRPr="004C0284">
                        <w:rPr>
                          <w:i/>
                          <w:iCs/>
                          <w:color w:val="5B9BD5" w:themeColor="accent1"/>
                          <w:sz w:val="24"/>
                        </w:rPr>
                        <w:t xml:space="preserve"> March 2023</w:t>
                      </w:r>
                    </w:p>
                  </w:txbxContent>
                </v:textbox>
                <w10:wrap type="square" anchorx="page"/>
              </v:shape>
            </w:pict>
          </mc:Fallback>
        </mc:AlternateContent>
      </w:r>
      <w:r w:rsidR="00054BAC" w:rsidRPr="00B67368">
        <w:rPr>
          <w:b/>
        </w:rPr>
        <w:t xml:space="preserve">Inverclyde’s Homeless Position </w:t>
      </w:r>
    </w:p>
    <w:p w14:paraId="2A529F83" w14:textId="77777777" w:rsidR="00B67368" w:rsidRDefault="00B67368" w:rsidP="00526848">
      <w:pPr>
        <w:rPr>
          <w:b/>
        </w:rPr>
      </w:pPr>
      <w:r w:rsidRPr="00B67368">
        <w:t>3.1</w:t>
      </w:r>
    </w:p>
    <w:p w14:paraId="3EBE20AF" w14:textId="77777777" w:rsidR="00526848" w:rsidRDefault="00526848" w:rsidP="00526848">
      <w:pPr>
        <w:rPr>
          <w:b/>
        </w:rPr>
      </w:pPr>
    </w:p>
    <w:p w14:paraId="1EF8A6FA" w14:textId="77777777" w:rsidR="00B67368" w:rsidRDefault="00B67368" w:rsidP="00B67368">
      <w:pPr>
        <w:ind w:left="360"/>
        <w:rPr>
          <w:b/>
        </w:rPr>
      </w:pPr>
    </w:p>
    <w:p w14:paraId="442A90A6" w14:textId="77777777" w:rsidR="00B67368" w:rsidRDefault="00B67368" w:rsidP="00B67368">
      <w:pPr>
        <w:ind w:left="360"/>
        <w:rPr>
          <w:b/>
        </w:rPr>
      </w:pPr>
    </w:p>
    <w:p w14:paraId="2FFC0340" w14:textId="77777777" w:rsidR="00B67368" w:rsidRDefault="00B67368" w:rsidP="00B67368">
      <w:pPr>
        <w:ind w:left="360"/>
        <w:rPr>
          <w:b/>
        </w:rPr>
      </w:pPr>
    </w:p>
    <w:p w14:paraId="72158B02" w14:textId="77777777" w:rsidR="00B67368" w:rsidRDefault="00B67368" w:rsidP="00B67368">
      <w:pPr>
        <w:ind w:left="360"/>
        <w:rPr>
          <w:b/>
        </w:rPr>
      </w:pPr>
    </w:p>
    <w:p w14:paraId="3F82C6FC" w14:textId="77777777" w:rsidR="00F97168" w:rsidRPr="00B67368" w:rsidRDefault="00F97168" w:rsidP="00A16EF8">
      <w:pPr>
        <w:ind w:left="360"/>
        <w:jc w:val="both"/>
        <w:rPr>
          <w:b/>
        </w:rPr>
      </w:pPr>
    </w:p>
    <w:p w14:paraId="171883BF" w14:textId="2FEEC532" w:rsidR="00FB369E" w:rsidRDefault="00054BAC">
      <w:pPr>
        <w:pStyle w:val="ListParagraph"/>
        <w:numPr>
          <w:ilvl w:val="1"/>
          <w:numId w:val="12"/>
        </w:numPr>
        <w:jc w:val="both"/>
      </w:pPr>
      <w:r>
        <w:t xml:space="preserve">The following section provides a breakdown and some analysis around key homelessness statistics </w:t>
      </w:r>
      <w:r w:rsidR="00552623">
        <w:t>to</w:t>
      </w:r>
      <w:r>
        <w:t xml:space="preserve"> establish if the current position indicates an </w:t>
      </w:r>
      <w:r w:rsidR="00433C32">
        <w:t>improvement at the end of year four</w:t>
      </w:r>
      <w:r>
        <w:t xml:space="preserve"> of Inverclyde’s RRTP. </w:t>
      </w:r>
      <w:r w:rsidR="00107FDB">
        <w:t>The statistics</w:t>
      </w:r>
      <w:r w:rsidR="00586DEB">
        <w:t xml:space="preserve"> wi</w:t>
      </w:r>
      <w:r w:rsidR="00433C32">
        <w:t>ll be extracted from the baseline figure of</w:t>
      </w:r>
      <w:r w:rsidR="00586DEB">
        <w:t xml:space="preserve"> 2018/19 of Inverclyde statistics prior to the implementation of RRTPs but additionally predating Covid-19 measures that may have caused an impact on homelessness trends. </w:t>
      </w:r>
    </w:p>
    <w:p w14:paraId="00E839D0" w14:textId="77777777" w:rsidR="00AA59AC" w:rsidRPr="00054BAC" w:rsidRDefault="00AA59AC" w:rsidP="00054BAC"/>
    <w:p w14:paraId="14D0E3C2" w14:textId="7303B4F9" w:rsidR="00586DEB" w:rsidRDefault="00F538D6">
      <w:pPr>
        <w:pStyle w:val="ListParagraph"/>
        <w:numPr>
          <w:ilvl w:val="1"/>
          <w:numId w:val="12"/>
        </w:numPr>
        <w:rPr>
          <w:u w:val="single"/>
        </w:rPr>
      </w:pPr>
      <w:r w:rsidRPr="00B922C5">
        <w:rPr>
          <w:u w:val="single"/>
        </w:rPr>
        <w:t>Prevent</w:t>
      </w:r>
      <w:r w:rsidR="0022174C">
        <w:rPr>
          <w:u w:val="single"/>
        </w:rPr>
        <w:t>ion</w:t>
      </w:r>
      <w:r w:rsidRPr="00B922C5">
        <w:rPr>
          <w:u w:val="single"/>
        </w:rPr>
        <w:t xml:space="preserve"> cases</w:t>
      </w:r>
    </w:p>
    <w:p w14:paraId="739BBC76" w14:textId="77777777" w:rsidR="002C5BA8" w:rsidRDefault="002C5BA8" w:rsidP="002C5BA8">
      <w:pPr>
        <w:pStyle w:val="ListParagraph"/>
        <w:rPr>
          <w:i/>
          <w:iCs/>
          <w:sz w:val="18"/>
          <w:szCs w:val="18"/>
        </w:rPr>
      </w:pPr>
    </w:p>
    <w:p w14:paraId="7042A260" w14:textId="053BC0C1" w:rsidR="0022174C" w:rsidRPr="002871E9" w:rsidRDefault="0022174C" w:rsidP="0022174C">
      <w:pPr>
        <w:ind w:left="720"/>
        <w:rPr>
          <w:i/>
          <w:iCs/>
          <w:sz w:val="18"/>
          <w:szCs w:val="18"/>
        </w:rPr>
      </w:pPr>
      <w:r w:rsidRPr="002871E9">
        <w:rPr>
          <w:i/>
          <w:iCs/>
          <w:sz w:val="18"/>
          <w:szCs w:val="18"/>
        </w:rPr>
        <w:t>Graph 1: Number of Prevention cases and number of prevention cases which went on to make a homeless application</w:t>
      </w:r>
      <w:r w:rsidR="001626B6" w:rsidRPr="002871E9">
        <w:rPr>
          <w:i/>
          <w:iCs/>
          <w:sz w:val="18"/>
          <w:szCs w:val="18"/>
        </w:rPr>
        <w:t xml:space="preserve"> 2018/19-2022/23</w:t>
      </w:r>
    </w:p>
    <w:p w14:paraId="2CBE57DA" w14:textId="15AF5125" w:rsidR="000A247E" w:rsidRDefault="0022174C" w:rsidP="00A16EF8">
      <w:pPr>
        <w:ind w:left="360"/>
        <w:jc w:val="both"/>
      </w:pPr>
      <w:r w:rsidRPr="0022174C">
        <w:lastRenderedPageBreak/>
        <w:t xml:space="preserve">  </w:t>
      </w:r>
      <w:r w:rsidR="00CC3FD6">
        <w:t xml:space="preserve">        </w:t>
      </w:r>
      <w:r w:rsidRPr="0022174C">
        <w:t xml:space="preserve">       </w:t>
      </w:r>
      <w:r w:rsidR="0094539D">
        <w:rPr>
          <w:noProof/>
        </w:rPr>
        <w:drawing>
          <wp:inline distT="0" distB="0" distL="0" distR="0" wp14:anchorId="69D72634" wp14:editId="29783E7A">
            <wp:extent cx="4476750" cy="2562225"/>
            <wp:effectExtent l="0" t="0" r="0" b="9525"/>
            <wp:docPr id="10" name="Chart 10">
              <a:extLst xmlns:a="http://schemas.openxmlformats.org/drawingml/2006/main">
                <a:ext uri="{FF2B5EF4-FFF2-40B4-BE49-F238E27FC236}">
                  <a16:creationId xmlns:a16="http://schemas.microsoft.com/office/drawing/2014/main" id="{E0BC7A97-5289-7752-9121-0AB80872C2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851A48" w14:textId="77777777" w:rsidR="00A16EF8" w:rsidRDefault="00221F5E" w:rsidP="00A16EF8">
      <w:pPr>
        <w:ind w:left="360"/>
        <w:jc w:val="both"/>
      </w:pPr>
      <w:r>
        <w:t xml:space="preserve">The number of approaches to the service is expected to increase </w:t>
      </w:r>
      <w:r w:rsidR="00A16EF8">
        <w:t>as we move away from being seen as a homeless service providing accommodation and</w:t>
      </w:r>
      <w:r>
        <w:t xml:space="preserve"> rebrand</w:t>
      </w:r>
      <w:r w:rsidR="00A16EF8">
        <w:t>ing</w:t>
      </w:r>
      <w:r>
        <w:t xml:space="preserve"> as a Housing Options </w:t>
      </w:r>
      <w:r w:rsidR="00D442E1">
        <w:t xml:space="preserve">and Homelessness Advice </w:t>
      </w:r>
      <w:r>
        <w:t>service</w:t>
      </w:r>
      <w:r w:rsidR="00A16EF8">
        <w:t xml:space="preserve">.  This will focus on </w:t>
      </w:r>
      <w:r>
        <w:t>more general housing advice</w:t>
      </w:r>
      <w:r w:rsidR="00A16EF8">
        <w:t xml:space="preserve">, </w:t>
      </w:r>
      <w:r>
        <w:t>tenancy rights</w:t>
      </w:r>
      <w:r w:rsidR="00A16EF8">
        <w:t xml:space="preserve"> and homeless prevention activity</w:t>
      </w:r>
      <w:r w:rsidR="005F6425">
        <w:t>.</w:t>
      </w:r>
      <w:r>
        <w:t xml:space="preserve"> </w:t>
      </w:r>
    </w:p>
    <w:p w14:paraId="01C8A720" w14:textId="114E0CA2" w:rsidR="00221F5E" w:rsidRDefault="00A16EF8" w:rsidP="00A16EF8">
      <w:pPr>
        <w:ind w:left="360"/>
        <w:jc w:val="both"/>
        <w:rPr>
          <w:u w:val="single"/>
        </w:rPr>
      </w:pPr>
      <w:r>
        <w:t>I</w:t>
      </w:r>
      <w:r w:rsidR="00221F5E">
        <w:t>n the past year:</w:t>
      </w:r>
    </w:p>
    <w:p w14:paraId="060331FC" w14:textId="48FAAA29" w:rsidR="0022174C" w:rsidRDefault="00A911E2">
      <w:pPr>
        <w:pStyle w:val="ListParagraph"/>
        <w:numPr>
          <w:ilvl w:val="0"/>
          <w:numId w:val="18"/>
        </w:numPr>
        <w:jc w:val="both"/>
      </w:pPr>
      <w:r>
        <w:t>The service sa</w:t>
      </w:r>
      <w:r w:rsidR="0094539D">
        <w:t xml:space="preserve">w 682 approaches to the service in 2022/23, a 3% decrease from the previous year. </w:t>
      </w:r>
    </w:p>
    <w:p w14:paraId="35E0D28D" w14:textId="0C5C25C4" w:rsidR="0022174C" w:rsidRDefault="008D1ECA">
      <w:pPr>
        <w:pStyle w:val="ListParagraph"/>
        <w:numPr>
          <w:ilvl w:val="0"/>
          <w:numId w:val="18"/>
        </w:numPr>
        <w:jc w:val="both"/>
      </w:pPr>
      <w:r>
        <w:t>The number of prevention cases progressing into a full homeless applicat</w:t>
      </w:r>
      <w:r w:rsidRPr="0022174C">
        <w:t xml:space="preserve">ion </w:t>
      </w:r>
      <w:r w:rsidR="003927BB" w:rsidRPr="0022174C">
        <w:t xml:space="preserve">decreased </w:t>
      </w:r>
      <w:r w:rsidR="0022174C">
        <w:t>from 48% in 2021/22 to 3</w:t>
      </w:r>
      <w:r w:rsidR="0094539D">
        <w:t>9</w:t>
      </w:r>
      <w:r w:rsidR="0022174C">
        <w:t>% in 2022/23</w:t>
      </w:r>
      <w:r w:rsidR="00221F5E">
        <w:t xml:space="preserve"> – with a stronger focus on prevention activities. </w:t>
      </w:r>
    </w:p>
    <w:p w14:paraId="35536509" w14:textId="77777777" w:rsidR="005F348D" w:rsidRPr="00E759FB" w:rsidRDefault="005F348D" w:rsidP="00F97168"/>
    <w:p w14:paraId="3D657F43" w14:textId="5F517D2A" w:rsidR="00B46C81" w:rsidRDefault="0022174C">
      <w:pPr>
        <w:pStyle w:val="ListParagraph"/>
        <w:numPr>
          <w:ilvl w:val="1"/>
          <w:numId w:val="12"/>
        </w:numPr>
        <w:rPr>
          <w:u w:val="single"/>
        </w:rPr>
      </w:pPr>
      <w:r w:rsidRPr="00B024B1">
        <w:rPr>
          <w:u w:val="single"/>
        </w:rPr>
        <w:t>No.</w:t>
      </w:r>
      <w:r w:rsidR="00102DB2" w:rsidRPr="00B024B1">
        <w:rPr>
          <w:u w:val="single"/>
        </w:rPr>
        <w:t xml:space="preserve"> of </w:t>
      </w:r>
      <w:r w:rsidR="00F538D6" w:rsidRPr="00B024B1">
        <w:rPr>
          <w:u w:val="single"/>
        </w:rPr>
        <w:t xml:space="preserve">homeless </w:t>
      </w:r>
      <w:r w:rsidR="00231321" w:rsidRPr="00B024B1">
        <w:rPr>
          <w:u w:val="single"/>
        </w:rPr>
        <w:t>applications and no. of homeless/threatened with homelessness</w:t>
      </w:r>
      <w:r w:rsidR="00F538D6" w:rsidRPr="00B024B1">
        <w:rPr>
          <w:u w:val="single"/>
        </w:rPr>
        <w:t xml:space="preserve"> </w:t>
      </w:r>
    </w:p>
    <w:p w14:paraId="65E139A5" w14:textId="0C6D5B5E" w:rsidR="0001399D" w:rsidRDefault="0001399D" w:rsidP="0001399D">
      <w:pPr>
        <w:pStyle w:val="ListParagraph"/>
        <w:ind w:left="360"/>
        <w:rPr>
          <w:u w:val="single"/>
        </w:rPr>
      </w:pPr>
    </w:p>
    <w:p w14:paraId="218B8401" w14:textId="0B88F43B" w:rsidR="00B024B1" w:rsidRPr="002871E9" w:rsidRDefault="0001399D" w:rsidP="005F6425">
      <w:pPr>
        <w:ind w:left="720"/>
        <w:rPr>
          <w:i/>
          <w:sz w:val="18"/>
          <w:szCs w:val="18"/>
        </w:rPr>
      </w:pPr>
      <w:r w:rsidRPr="002871E9">
        <w:rPr>
          <w:i/>
          <w:sz w:val="18"/>
          <w:szCs w:val="18"/>
        </w:rPr>
        <w:t xml:space="preserve">Graph 2: Number of </w:t>
      </w:r>
      <w:r w:rsidR="00303473" w:rsidRPr="002871E9">
        <w:rPr>
          <w:i/>
          <w:sz w:val="18"/>
          <w:szCs w:val="18"/>
        </w:rPr>
        <w:t xml:space="preserve">homeless </w:t>
      </w:r>
      <w:r w:rsidRPr="002871E9">
        <w:rPr>
          <w:i/>
          <w:sz w:val="18"/>
          <w:szCs w:val="18"/>
        </w:rPr>
        <w:t>applications</w:t>
      </w:r>
      <w:r w:rsidR="00303473" w:rsidRPr="002871E9">
        <w:rPr>
          <w:i/>
          <w:sz w:val="18"/>
          <w:szCs w:val="18"/>
        </w:rPr>
        <w:t xml:space="preserve">, </w:t>
      </w:r>
      <w:r w:rsidRPr="002871E9">
        <w:rPr>
          <w:i/>
          <w:sz w:val="18"/>
          <w:szCs w:val="18"/>
        </w:rPr>
        <w:t>2018/19-2022/23</w:t>
      </w:r>
    </w:p>
    <w:p w14:paraId="71910938" w14:textId="4FEEFC1D" w:rsidR="00DD4989" w:rsidRDefault="00B024B1" w:rsidP="0001399D">
      <w:pPr>
        <w:pStyle w:val="ListParagraph"/>
        <w:ind w:left="360"/>
        <w:rPr>
          <w:u w:val="single"/>
        </w:rPr>
      </w:pPr>
      <w:r w:rsidRPr="00B024B1">
        <w:rPr>
          <w:noProof/>
          <w:u w:val="single"/>
        </w:rPr>
        <w:drawing>
          <wp:inline distT="0" distB="0" distL="0" distR="0" wp14:anchorId="430B3DB2" wp14:editId="731290B5">
            <wp:extent cx="6124131" cy="2070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1896" cy="2072725"/>
                    </a:xfrm>
                    <a:prstGeom prst="rect">
                      <a:avLst/>
                    </a:prstGeom>
                  </pic:spPr>
                </pic:pic>
              </a:graphicData>
            </a:graphic>
          </wp:inline>
        </w:drawing>
      </w:r>
    </w:p>
    <w:p w14:paraId="540989AC" w14:textId="47A18BAB" w:rsidR="009628F9" w:rsidRPr="009628F9" w:rsidRDefault="009628F9" w:rsidP="009628F9">
      <w:pPr>
        <w:rPr>
          <w:u w:val="single"/>
        </w:rPr>
      </w:pPr>
    </w:p>
    <w:p w14:paraId="6C1D8BBD" w14:textId="36E24EE4" w:rsidR="00582615" w:rsidRDefault="00A16EF8" w:rsidP="00582615">
      <w:r>
        <w:lastRenderedPageBreak/>
        <w:t xml:space="preserve">It was anticipated that that there would be </w:t>
      </w:r>
      <w:r w:rsidR="00582615">
        <w:t>a national increase in the number of homeless applications</w:t>
      </w:r>
      <w:r>
        <w:t xml:space="preserve"> this year, </w:t>
      </w:r>
      <w:r w:rsidR="00582615">
        <w:t>however Inverclyde has not aligned with the predicted national picture.</w:t>
      </w:r>
      <w:r w:rsidR="00582615">
        <w:rPr>
          <w:rStyle w:val="FootnoteReference"/>
        </w:rPr>
        <w:footnoteReference w:id="5"/>
      </w:r>
      <w:r w:rsidR="00582615">
        <w:t xml:space="preserve"> </w:t>
      </w:r>
    </w:p>
    <w:p w14:paraId="713706B0" w14:textId="6AF42A62" w:rsidR="00231321" w:rsidRDefault="00E759FB">
      <w:pPr>
        <w:pStyle w:val="ListParagraph"/>
        <w:numPr>
          <w:ilvl w:val="0"/>
          <w:numId w:val="22"/>
        </w:numPr>
        <w:jc w:val="both"/>
      </w:pPr>
      <w:r>
        <w:t xml:space="preserve">There has been a </w:t>
      </w:r>
      <w:r w:rsidR="00262523">
        <w:t>10</w:t>
      </w:r>
      <w:r w:rsidR="00231321" w:rsidRPr="00231321">
        <w:t xml:space="preserve">% </w:t>
      </w:r>
      <w:r w:rsidR="00045D7A" w:rsidRPr="00262523">
        <w:t>decrease</w:t>
      </w:r>
      <w:r w:rsidR="00231321" w:rsidRPr="00A16EF8">
        <w:rPr>
          <w:color w:val="FF0000"/>
        </w:rPr>
        <w:t xml:space="preserve"> </w:t>
      </w:r>
      <w:r w:rsidR="00231321" w:rsidRPr="00231321">
        <w:t>in the number o</w:t>
      </w:r>
      <w:r w:rsidR="00F81D91">
        <w:t>f homelessness applications from 32</w:t>
      </w:r>
      <w:r w:rsidR="009F35D4">
        <w:t>4</w:t>
      </w:r>
      <w:r>
        <w:t xml:space="preserve"> in 2021/22 to </w:t>
      </w:r>
      <w:r w:rsidR="00262523">
        <w:t>292</w:t>
      </w:r>
      <w:r w:rsidR="008D1ECA">
        <w:t xml:space="preserve"> recorded between April 1</w:t>
      </w:r>
      <w:r w:rsidR="008D1ECA" w:rsidRPr="00A16EF8">
        <w:rPr>
          <w:vertAlign w:val="superscript"/>
        </w:rPr>
        <w:t>st</w:t>
      </w:r>
      <w:r w:rsidR="008D1ECA">
        <w:t xml:space="preserve"> 2022 and March 31</w:t>
      </w:r>
      <w:r w:rsidR="008D1ECA" w:rsidRPr="00A16EF8">
        <w:rPr>
          <w:vertAlign w:val="superscript"/>
        </w:rPr>
        <w:t>st</w:t>
      </w:r>
      <w:r w:rsidR="008D1ECA">
        <w:t xml:space="preserve"> 20</w:t>
      </w:r>
      <w:r w:rsidR="00231321">
        <w:t xml:space="preserve">23 </w:t>
      </w:r>
      <w:r w:rsidR="00231321" w:rsidRPr="00231321">
        <w:t>in Inverclyde</w:t>
      </w:r>
      <w:r w:rsidR="005F6425">
        <w:t xml:space="preserve">. </w:t>
      </w:r>
    </w:p>
    <w:p w14:paraId="6A715203" w14:textId="77777777" w:rsidR="00A16EF8" w:rsidRDefault="005F6425">
      <w:pPr>
        <w:pStyle w:val="ListParagraph"/>
        <w:numPr>
          <w:ilvl w:val="0"/>
          <w:numId w:val="22"/>
        </w:numPr>
        <w:jc w:val="both"/>
      </w:pPr>
      <w:r>
        <w:t xml:space="preserve">The reduced number of prevention cases going on to make a homeless application and long-term support being offered for the most complex and habitually homeless clients </w:t>
      </w:r>
      <w:r w:rsidR="008B5E56">
        <w:t xml:space="preserve">reducing the number of </w:t>
      </w:r>
      <w:r w:rsidR="00606B5F">
        <w:t xml:space="preserve">households re-entering the service </w:t>
      </w:r>
      <w:r>
        <w:t>can</w:t>
      </w:r>
      <w:r w:rsidR="00D2675E">
        <w:t xml:space="preserve"> help</w:t>
      </w:r>
      <w:r>
        <w:t xml:space="preserve"> account for the</w:t>
      </w:r>
      <w:r w:rsidR="008B5E56">
        <w:t xml:space="preserve"> decreased numbers</w:t>
      </w:r>
      <w:r>
        <w:t xml:space="preserve">. </w:t>
      </w:r>
    </w:p>
    <w:p w14:paraId="7C35783F" w14:textId="22F95A72" w:rsidR="00D2675E" w:rsidRDefault="00231321">
      <w:pPr>
        <w:pStyle w:val="ListParagraph"/>
        <w:numPr>
          <w:ilvl w:val="0"/>
          <w:numId w:val="22"/>
        </w:numPr>
        <w:jc w:val="both"/>
      </w:pPr>
      <w:r>
        <w:t xml:space="preserve">The number of those assessed as homeless/threatened with homelessness has </w:t>
      </w:r>
      <w:r w:rsidRPr="00DD4989">
        <w:t>declined</w:t>
      </w:r>
      <w:r w:rsidRPr="00A16EF8">
        <w:rPr>
          <w:color w:val="FF0000"/>
        </w:rPr>
        <w:t xml:space="preserve"> </w:t>
      </w:r>
      <w:r w:rsidR="00E759FB">
        <w:t xml:space="preserve">by </w:t>
      </w:r>
      <w:r w:rsidR="00DD4989">
        <w:t>2</w:t>
      </w:r>
      <w:r w:rsidR="00F81D91">
        <w:t>% - from 2</w:t>
      </w:r>
      <w:r w:rsidR="00DD4989">
        <w:t>77</w:t>
      </w:r>
      <w:r w:rsidR="00F81D91">
        <w:t xml:space="preserve"> </w:t>
      </w:r>
      <w:r w:rsidR="00E759FB">
        <w:t xml:space="preserve">to </w:t>
      </w:r>
      <w:r w:rsidR="00DD4989">
        <w:t>271.</w:t>
      </w:r>
    </w:p>
    <w:p w14:paraId="530F842E" w14:textId="77777777" w:rsidR="00A16EF8" w:rsidRDefault="00A16EF8" w:rsidP="00A16EF8">
      <w:pPr>
        <w:pStyle w:val="ListParagraph"/>
        <w:jc w:val="both"/>
      </w:pPr>
    </w:p>
    <w:p w14:paraId="09B42FD9" w14:textId="66E09329" w:rsidR="00D80B96" w:rsidRPr="0022174C" w:rsidRDefault="00F538D6">
      <w:pPr>
        <w:pStyle w:val="ListParagraph"/>
        <w:numPr>
          <w:ilvl w:val="1"/>
          <w:numId w:val="16"/>
        </w:numPr>
        <w:rPr>
          <w:u w:val="single"/>
        </w:rPr>
      </w:pPr>
      <w:r w:rsidRPr="0022174C">
        <w:rPr>
          <w:u w:val="single"/>
        </w:rPr>
        <w:t xml:space="preserve">Reason for </w:t>
      </w:r>
      <w:r w:rsidR="005F6425">
        <w:rPr>
          <w:u w:val="single"/>
        </w:rPr>
        <w:t>homeless application</w:t>
      </w:r>
    </w:p>
    <w:p w14:paraId="3798F707" w14:textId="49BE9A21" w:rsidR="00BD49C7" w:rsidRPr="00293DFA" w:rsidRDefault="00BD49C7" w:rsidP="00BD49C7">
      <w:pPr>
        <w:pStyle w:val="ListParagraph"/>
        <w:ind w:left="360"/>
        <w:rPr>
          <w:u w:val="single"/>
        </w:rPr>
      </w:pPr>
    </w:p>
    <w:p w14:paraId="6398F315" w14:textId="44BBF8A5" w:rsidR="009E2979" w:rsidRPr="002871E9" w:rsidRDefault="00BD49C7" w:rsidP="009E2979">
      <w:pPr>
        <w:pStyle w:val="ListParagraph"/>
        <w:ind w:left="360"/>
        <w:rPr>
          <w:i/>
          <w:iCs/>
          <w:sz w:val="18"/>
          <w:szCs w:val="18"/>
        </w:rPr>
      </w:pPr>
      <w:r w:rsidRPr="002871E9">
        <w:rPr>
          <w:i/>
          <w:iCs/>
          <w:sz w:val="18"/>
          <w:szCs w:val="18"/>
        </w:rPr>
        <w:t>Graph</w:t>
      </w:r>
      <w:r w:rsidR="0022174C" w:rsidRPr="002871E9">
        <w:rPr>
          <w:i/>
          <w:iCs/>
          <w:sz w:val="18"/>
          <w:szCs w:val="18"/>
        </w:rPr>
        <w:t xml:space="preserve"> 3</w:t>
      </w:r>
      <w:r w:rsidRPr="002871E9">
        <w:rPr>
          <w:i/>
          <w:iCs/>
          <w:sz w:val="18"/>
          <w:szCs w:val="18"/>
        </w:rPr>
        <w:t xml:space="preserve">: Top five technical reasons for </w:t>
      </w:r>
      <w:r w:rsidR="00AA1039" w:rsidRPr="002871E9">
        <w:rPr>
          <w:i/>
          <w:iCs/>
          <w:sz w:val="18"/>
          <w:szCs w:val="18"/>
        </w:rPr>
        <w:t xml:space="preserve">homelessness </w:t>
      </w:r>
      <w:r w:rsidRPr="002871E9">
        <w:rPr>
          <w:i/>
          <w:iCs/>
          <w:sz w:val="18"/>
          <w:szCs w:val="18"/>
        </w:rPr>
        <w:t>application</w:t>
      </w:r>
      <w:r w:rsidR="00582615" w:rsidRPr="002871E9">
        <w:rPr>
          <w:i/>
          <w:iCs/>
          <w:sz w:val="18"/>
          <w:szCs w:val="18"/>
        </w:rPr>
        <w:t>,</w:t>
      </w:r>
      <w:r w:rsidRPr="002871E9">
        <w:rPr>
          <w:i/>
          <w:iCs/>
          <w:sz w:val="18"/>
          <w:szCs w:val="18"/>
        </w:rPr>
        <w:t xml:space="preserve"> 2018/19-2022/23</w:t>
      </w:r>
    </w:p>
    <w:p w14:paraId="6FFDF135" w14:textId="2064C0A7" w:rsidR="009E2979" w:rsidRDefault="001A3E90" w:rsidP="009E2979">
      <w:pPr>
        <w:pStyle w:val="ListParagraph"/>
        <w:ind w:left="360"/>
        <w:rPr>
          <w:u w:val="single"/>
        </w:rPr>
      </w:pPr>
      <w:r>
        <w:rPr>
          <w:noProof/>
        </w:rPr>
        <w:drawing>
          <wp:anchor distT="0" distB="0" distL="114300" distR="114300" simplePos="0" relativeHeight="251667456" behindDoc="0" locked="0" layoutInCell="1" allowOverlap="1" wp14:anchorId="7701067E" wp14:editId="4F1BBA16">
            <wp:simplePos x="0" y="0"/>
            <wp:positionH relativeFrom="margin">
              <wp:posOffset>581025</wp:posOffset>
            </wp:positionH>
            <wp:positionV relativeFrom="paragraph">
              <wp:posOffset>24130</wp:posOffset>
            </wp:positionV>
            <wp:extent cx="5435600" cy="2190750"/>
            <wp:effectExtent l="0" t="0" r="12700" b="0"/>
            <wp:wrapSquare wrapText="bothSides"/>
            <wp:docPr id="7" name="Chart 7">
              <a:extLst xmlns:a="http://schemas.openxmlformats.org/drawingml/2006/main">
                <a:ext uri="{FF2B5EF4-FFF2-40B4-BE49-F238E27FC236}">
                  <a16:creationId xmlns:a16="http://schemas.microsoft.com/office/drawing/2014/main" id="{E608FC01-1482-4045-9F68-BA9C694C4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4B84CDF" w14:textId="00316595" w:rsidR="009E2979" w:rsidRDefault="009E2979" w:rsidP="009E2979">
      <w:pPr>
        <w:pStyle w:val="ListParagraph"/>
        <w:ind w:left="360"/>
        <w:rPr>
          <w:u w:val="single"/>
        </w:rPr>
      </w:pPr>
    </w:p>
    <w:p w14:paraId="10966BDF" w14:textId="121FCF43" w:rsidR="009E2979" w:rsidRDefault="009E2979" w:rsidP="009E2979">
      <w:pPr>
        <w:pStyle w:val="ListParagraph"/>
        <w:ind w:left="360"/>
        <w:rPr>
          <w:u w:val="single"/>
        </w:rPr>
      </w:pPr>
    </w:p>
    <w:p w14:paraId="569D0F85" w14:textId="0EE01539" w:rsidR="009E2979" w:rsidRDefault="009E2979" w:rsidP="009E2979">
      <w:pPr>
        <w:pStyle w:val="ListParagraph"/>
        <w:ind w:left="360"/>
        <w:rPr>
          <w:u w:val="single"/>
        </w:rPr>
      </w:pPr>
    </w:p>
    <w:p w14:paraId="61EA9E8B" w14:textId="366A3299" w:rsidR="009E2979" w:rsidRDefault="009E2979" w:rsidP="009E2979">
      <w:pPr>
        <w:pStyle w:val="ListParagraph"/>
        <w:ind w:left="360"/>
        <w:rPr>
          <w:u w:val="single"/>
        </w:rPr>
      </w:pPr>
    </w:p>
    <w:p w14:paraId="71170CA0" w14:textId="7F562403" w:rsidR="009E2979" w:rsidRDefault="009E2979" w:rsidP="009E2979">
      <w:pPr>
        <w:pStyle w:val="ListParagraph"/>
        <w:ind w:left="360"/>
        <w:rPr>
          <w:u w:val="single"/>
        </w:rPr>
      </w:pPr>
    </w:p>
    <w:p w14:paraId="3659A015" w14:textId="00C0C85F" w:rsidR="009E2979" w:rsidRDefault="009E2979" w:rsidP="009E2979">
      <w:pPr>
        <w:pStyle w:val="ListParagraph"/>
        <w:ind w:left="360"/>
        <w:rPr>
          <w:u w:val="single"/>
        </w:rPr>
      </w:pPr>
    </w:p>
    <w:p w14:paraId="069D77E6" w14:textId="3A1CFCC2" w:rsidR="009E2979" w:rsidRDefault="009E2979" w:rsidP="009E2979">
      <w:pPr>
        <w:pStyle w:val="ListParagraph"/>
        <w:ind w:left="360"/>
        <w:rPr>
          <w:u w:val="single"/>
        </w:rPr>
      </w:pPr>
    </w:p>
    <w:p w14:paraId="38F01CFB" w14:textId="5CB05A65" w:rsidR="009E2979" w:rsidRDefault="009E2979" w:rsidP="009E2979">
      <w:pPr>
        <w:pStyle w:val="ListParagraph"/>
        <w:ind w:left="360"/>
        <w:rPr>
          <w:u w:val="single"/>
        </w:rPr>
      </w:pPr>
    </w:p>
    <w:p w14:paraId="5786CB9E" w14:textId="693E51ED" w:rsidR="009E2979" w:rsidRDefault="009E2979" w:rsidP="009E2979">
      <w:pPr>
        <w:pStyle w:val="ListParagraph"/>
        <w:ind w:left="360"/>
        <w:rPr>
          <w:u w:val="single"/>
        </w:rPr>
      </w:pPr>
    </w:p>
    <w:p w14:paraId="16D9CFA9" w14:textId="3D0042B6" w:rsidR="009E2979" w:rsidRDefault="009E2979" w:rsidP="009E2979">
      <w:pPr>
        <w:pStyle w:val="ListParagraph"/>
        <w:ind w:left="360"/>
        <w:rPr>
          <w:u w:val="single"/>
        </w:rPr>
      </w:pPr>
    </w:p>
    <w:p w14:paraId="4E0C226C" w14:textId="42916F10" w:rsidR="009E2979" w:rsidRDefault="009E2979" w:rsidP="009E2979">
      <w:pPr>
        <w:pStyle w:val="ListParagraph"/>
        <w:ind w:left="360"/>
        <w:rPr>
          <w:u w:val="single"/>
        </w:rPr>
      </w:pPr>
    </w:p>
    <w:p w14:paraId="2A9C1658" w14:textId="77777777" w:rsidR="00FC4853" w:rsidRDefault="00B47979" w:rsidP="00FC4853">
      <w:pPr>
        <w:pStyle w:val="ListParagraph"/>
        <w:numPr>
          <w:ilvl w:val="0"/>
          <w:numId w:val="6"/>
        </w:numPr>
        <w:ind w:left="1080"/>
        <w:jc w:val="both"/>
      </w:pPr>
      <w:r>
        <w:t>Asked to leave remains the most common reason for ma</w:t>
      </w:r>
      <w:r w:rsidR="00E759FB">
        <w:t xml:space="preserve">king a homeless application at </w:t>
      </w:r>
      <w:r w:rsidR="009E2979">
        <w:t>33</w:t>
      </w:r>
      <w:r>
        <w:t>%</w:t>
      </w:r>
      <w:r w:rsidR="00606B5F">
        <w:t>.</w:t>
      </w:r>
    </w:p>
    <w:p w14:paraId="5542B8CE" w14:textId="3440D9B8" w:rsidR="00FC4853" w:rsidRDefault="00FC4853" w:rsidP="00FC4853">
      <w:pPr>
        <w:pStyle w:val="ListParagraph"/>
        <w:numPr>
          <w:ilvl w:val="0"/>
          <w:numId w:val="6"/>
        </w:numPr>
        <w:ind w:left="1080"/>
        <w:jc w:val="both"/>
      </w:pPr>
      <w:r w:rsidRPr="00FC4853">
        <w:t>Other action by landlord resulting in the termination of the tenancy has been the cause of 16% of the 292 applications made – increasing by 44% since last year and 109% since 2020/21.</w:t>
      </w:r>
      <w:r w:rsidR="00491AF3">
        <w:t xml:space="preserve"> Legal </w:t>
      </w:r>
      <w:r w:rsidRPr="00FC4853">
        <w:t>restrictions on private landlords</w:t>
      </w:r>
      <w:r w:rsidR="00B36129">
        <w:t>,</w:t>
      </w:r>
      <w:r w:rsidRPr="00FC4853">
        <w:t xml:space="preserve"> </w:t>
      </w:r>
      <w:r w:rsidR="00B36129">
        <w:t xml:space="preserve">limiting </w:t>
      </w:r>
      <w:r w:rsidRPr="00FC4853">
        <w:t>rent increases and freez</w:t>
      </w:r>
      <w:r w:rsidR="00B36129">
        <w:t>ing</w:t>
      </w:r>
      <w:r w:rsidRPr="00FC4853">
        <w:t xml:space="preserve"> evictions</w:t>
      </w:r>
      <w:r w:rsidR="00491AF3">
        <w:t xml:space="preserve"> in response to the growing cost of living crisis and </w:t>
      </w:r>
      <w:r w:rsidR="003F5C4C">
        <w:t>measures</w:t>
      </w:r>
      <w:r w:rsidR="00491AF3">
        <w:t xml:space="preserve"> installed earlier</w:t>
      </w:r>
      <w:r w:rsidR="003F5C4C">
        <w:t xml:space="preserve"> with regards to</w:t>
      </w:r>
      <w:r w:rsidRPr="00FC4853">
        <w:t xml:space="preserve"> Covid 19 can provide explanation for this increase</w:t>
      </w:r>
      <w:r w:rsidR="00491AF3">
        <w:t xml:space="preserve"> – leading private landlords to sell their properties due to affordability. </w:t>
      </w:r>
    </w:p>
    <w:p w14:paraId="7CE18F46" w14:textId="13151887" w:rsidR="00491AF3" w:rsidRDefault="00491AF3" w:rsidP="00491AF3">
      <w:pPr>
        <w:pStyle w:val="ListParagraph"/>
        <w:numPr>
          <w:ilvl w:val="0"/>
          <w:numId w:val="6"/>
        </w:numPr>
        <w:ind w:left="1080"/>
        <w:jc w:val="both"/>
      </w:pPr>
      <w:r>
        <w:t>The intention of local landlords to sell their rented properties was indicated in a survey by Crisis commissioned by Inverclyde Council and results received in early 2022/23, other national studies have reported finding similar landlord intention in relation to exiting the sector</w:t>
      </w:r>
      <w:r>
        <w:rPr>
          <w:rStyle w:val="FootnoteReference"/>
        </w:rPr>
        <w:footnoteReference w:id="6"/>
      </w:r>
      <w:r>
        <w:t xml:space="preserve">. </w:t>
      </w:r>
    </w:p>
    <w:p w14:paraId="1432CA16" w14:textId="72E4075A" w:rsidR="009E2979" w:rsidRDefault="009E69C1" w:rsidP="00FC4853">
      <w:pPr>
        <w:pStyle w:val="ListParagraph"/>
        <w:numPr>
          <w:ilvl w:val="0"/>
          <w:numId w:val="6"/>
        </w:numPr>
        <w:ind w:left="1080"/>
        <w:jc w:val="both"/>
      </w:pPr>
      <w:r>
        <w:t xml:space="preserve">Inverclyde continues to differ from national statistics in relation to the prevalence of those leaving institutions </w:t>
      </w:r>
      <w:r w:rsidR="00E332FA">
        <w:t>i.e.,</w:t>
      </w:r>
      <w:r>
        <w:t xml:space="preserve"> prison/hospital/care consistently appear</w:t>
      </w:r>
      <w:r w:rsidR="003A48C1">
        <w:t>ing</w:t>
      </w:r>
      <w:r>
        <w:t xml:space="preserve"> within the top </w:t>
      </w:r>
      <w:r w:rsidR="00DF57DF">
        <w:t>3</w:t>
      </w:r>
      <w:r>
        <w:t xml:space="preserve"> reasons </w:t>
      </w:r>
      <w:r w:rsidR="000901AB">
        <w:t>for homelessness since 2015/16</w:t>
      </w:r>
      <w:r w:rsidR="009E2979">
        <w:t xml:space="preserve"> to 202</w:t>
      </w:r>
      <w:r w:rsidR="00DF57DF">
        <w:t>1</w:t>
      </w:r>
      <w:r w:rsidR="009E2979">
        <w:t>/2</w:t>
      </w:r>
      <w:r w:rsidR="00DF57DF">
        <w:t>2</w:t>
      </w:r>
      <w:r w:rsidR="003A48C1">
        <w:t xml:space="preserve">. While nationally, the top three </w:t>
      </w:r>
      <w:r w:rsidR="003A48C1">
        <w:lastRenderedPageBreak/>
        <w:t>reasons remain unchanging as ‘Asked to leave’ and ‘Dispute within household’ both ‘non-violent’ and ‘violent or abusive’.</w:t>
      </w:r>
    </w:p>
    <w:p w14:paraId="345CF91D" w14:textId="435C5391" w:rsidR="005F6425" w:rsidRDefault="009E2979" w:rsidP="000A247E">
      <w:pPr>
        <w:pStyle w:val="ListParagraph"/>
        <w:numPr>
          <w:ilvl w:val="0"/>
          <w:numId w:val="6"/>
        </w:numPr>
        <w:ind w:left="1080"/>
        <w:jc w:val="both"/>
      </w:pPr>
      <w:r>
        <w:t xml:space="preserve">In 2022/23 however, while still within the top 5 reasons for applications, the number of people </w:t>
      </w:r>
      <w:r w:rsidR="003A48C1">
        <w:t xml:space="preserve">in Inverclyde </w:t>
      </w:r>
      <w:r>
        <w:t xml:space="preserve">whose technical reason for application was due to leaving an institution fell by 30% </w:t>
      </w:r>
      <w:r w:rsidR="0080326D">
        <w:t>in one financial year</w:t>
      </w:r>
      <w:r>
        <w:t>- from 14% of applications to 11%.</w:t>
      </w:r>
      <w:r w:rsidR="00491AF3">
        <w:t xml:space="preserve"> </w:t>
      </w:r>
      <w:r w:rsidR="00B36129">
        <w:t xml:space="preserve">Numbers specifically </w:t>
      </w:r>
      <w:r w:rsidR="00491AF3">
        <w:t xml:space="preserve">relating to prison discharge decreased by 35% during this time. </w:t>
      </w:r>
      <w:r w:rsidR="0080326D">
        <w:t xml:space="preserve"> </w:t>
      </w:r>
    </w:p>
    <w:p w14:paraId="6F9C55D5" w14:textId="77777777" w:rsidR="00B36129" w:rsidRDefault="00B36129" w:rsidP="00B36129">
      <w:pPr>
        <w:pStyle w:val="ListParagraph"/>
        <w:ind w:left="1080"/>
        <w:jc w:val="both"/>
      </w:pPr>
    </w:p>
    <w:p w14:paraId="3D292A7F" w14:textId="1835CFFF" w:rsidR="002871E9" w:rsidRPr="002871E9" w:rsidRDefault="009628F9">
      <w:pPr>
        <w:pStyle w:val="ListParagraph"/>
        <w:numPr>
          <w:ilvl w:val="1"/>
          <w:numId w:val="15"/>
        </w:numPr>
        <w:rPr>
          <w:u w:val="single"/>
        </w:rPr>
      </w:pPr>
      <w:r>
        <w:rPr>
          <w:u w:val="single"/>
        </w:rPr>
        <w:t>Homeless households: composition and age of main applicant</w:t>
      </w:r>
    </w:p>
    <w:p w14:paraId="2858F373" w14:textId="7D37D58B" w:rsidR="0022174C" w:rsidRPr="002871E9" w:rsidRDefault="0022174C" w:rsidP="0022174C">
      <w:pPr>
        <w:ind w:firstLine="720"/>
        <w:rPr>
          <w:i/>
          <w:iCs/>
          <w:sz w:val="18"/>
          <w:szCs w:val="18"/>
        </w:rPr>
      </w:pPr>
      <w:r w:rsidRPr="002871E9">
        <w:rPr>
          <w:i/>
          <w:iCs/>
          <w:sz w:val="18"/>
          <w:szCs w:val="18"/>
        </w:rPr>
        <w:t>Graph 4: Household composition of homeless applications</w:t>
      </w:r>
      <w:r w:rsidR="009B518B" w:rsidRPr="002871E9">
        <w:rPr>
          <w:i/>
          <w:iCs/>
          <w:sz w:val="18"/>
          <w:szCs w:val="18"/>
        </w:rPr>
        <w:t>,</w:t>
      </w:r>
      <w:r w:rsidRPr="002871E9">
        <w:rPr>
          <w:i/>
          <w:iCs/>
          <w:sz w:val="18"/>
          <w:szCs w:val="18"/>
        </w:rPr>
        <w:t xml:space="preserve"> 2018/19-2022/23</w:t>
      </w:r>
    </w:p>
    <w:p w14:paraId="45B79776" w14:textId="7AF9D947" w:rsidR="006F7E6B" w:rsidRPr="00F24A9C" w:rsidRDefault="00F24A9C" w:rsidP="00F24A9C">
      <w:pPr>
        <w:rPr>
          <w:u w:val="single"/>
        </w:rPr>
      </w:pPr>
      <w:r>
        <w:t xml:space="preserve">                  </w:t>
      </w:r>
      <w:r w:rsidR="006F7E6B">
        <w:rPr>
          <w:noProof/>
        </w:rPr>
        <w:drawing>
          <wp:inline distT="0" distB="0" distL="0" distR="0" wp14:anchorId="474E7913" wp14:editId="100A7CD6">
            <wp:extent cx="4984750" cy="2692400"/>
            <wp:effectExtent l="0" t="0" r="6350" b="12700"/>
            <wp:docPr id="8" name="Chart 8">
              <a:extLst xmlns:a="http://schemas.openxmlformats.org/drawingml/2006/main">
                <a:ext uri="{FF2B5EF4-FFF2-40B4-BE49-F238E27FC236}">
                  <a16:creationId xmlns:a16="http://schemas.microsoft.com/office/drawing/2014/main" id="{71918B14-D760-47E0-9732-232F9D44E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DA135A" w14:textId="3E373814" w:rsidR="001626B6" w:rsidRDefault="00D442E1" w:rsidP="00582615">
      <w:r>
        <w:t>Most</w:t>
      </w:r>
      <w:r w:rsidR="00E759FB">
        <w:t xml:space="preserve"> </w:t>
      </w:r>
      <w:r w:rsidR="006F7E6B">
        <w:t>applications to the Homelessness Service in</w:t>
      </w:r>
      <w:r w:rsidR="00B23FC3">
        <w:t xml:space="preserve"> I</w:t>
      </w:r>
      <w:r w:rsidR="00E759FB">
        <w:t>nverclyde</w:t>
      </w:r>
      <w:r w:rsidR="006F7E6B">
        <w:t xml:space="preserve"> remains as </w:t>
      </w:r>
      <w:r w:rsidR="00E759FB">
        <w:t xml:space="preserve">single persons </w:t>
      </w:r>
      <w:r w:rsidR="006F7E6B">
        <w:t xml:space="preserve">households at 72%. </w:t>
      </w:r>
    </w:p>
    <w:p w14:paraId="3E140C09" w14:textId="63AB56F4" w:rsidR="00AA101D" w:rsidRDefault="00303473" w:rsidP="00FC4853">
      <w:pPr>
        <w:jc w:val="both"/>
      </w:pPr>
      <w:r>
        <w:t>However,</w:t>
      </w:r>
      <w:r w:rsidR="00362904">
        <w:t xml:space="preserve"> the number of households that include children has continued to increase over recent years and now amounts to 26% of applications. This may have an impact on the property sizes required for future </w:t>
      </w:r>
      <w:r w:rsidR="0005384F">
        <w:t>temporary furnished</w:t>
      </w:r>
      <w:r w:rsidR="00362904">
        <w:t xml:space="preserve"> </w:t>
      </w:r>
      <w:r w:rsidR="00FC4853">
        <w:t xml:space="preserve">accommodation, potentially having to move away from </w:t>
      </w:r>
      <w:r w:rsidR="00AA101D">
        <w:t>1-bedroom</w:t>
      </w:r>
      <w:r w:rsidR="00362904">
        <w:t xml:space="preserve"> properties to 2+ bedroom properties </w:t>
      </w:r>
      <w:r w:rsidR="00F672EB">
        <w:t>that could</w:t>
      </w:r>
      <w:r w:rsidR="00362904">
        <w:t xml:space="preserve"> accommodate families. </w:t>
      </w:r>
    </w:p>
    <w:p w14:paraId="29FFBCF3" w14:textId="0102F91D" w:rsidR="00AA101D" w:rsidRPr="002871E9" w:rsidRDefault="00AA101D" w:rsidP="00FC4853">
      <w:pPr>
        <w:ind w:left="720"/>
        <w:jc w:val="both"/>
        <w:rPr>
          <w:i/>
          <w:iCs/>
          <w:sz w:val="18"/>
          <w:szCs w:val="18"/>
        </w:rPr>
      </w:pPr>
      <w:r w:rsidRPr="002871E9">
        <w:rPr>
          <w:i/>
          <w:iCs/>
          <w:sz w:val="18"/>
          <w:szCs w:val="18"/>
        </w:rPr>
        <w:t>Table 1: Age group of main applicant, 2018/19-2022/23</w:t>
      </w:r>
    </w:p>
    <w:tbl>
      <w:tblPr>
        <w:tblStyle w:val="TableGrid"/>
        <w:tblW w:w="0" w:type="auto"/>
        <w:tblInd w:w="348" w:type="dxa"/>
        <w:tblLook w:val="04A0" w:firstRow="1" w:lastRow="0" w:firstColumn="1" w:lastColumn="0" w:noHBand="0" w:noVBand="1"/>
      </w:tblPr>
      <w:tblGrid>
        <w:gridCol w:w="1884"/>
        <w:gridCol w:w="1293"/>
        <w:gridCol w:w="1515"/>
        <w:gridCol w:w="1404"/>
        <w:gridCol w:w="1256"/>
        <w:gridCol w:w="970"/>
      </w:tblGrid>
      <w:tr w:rsidR="00AA101D" w:rsidRPr="00AA101D" w14:paraId="65C18C3B" w14:textId="77777777" w:rsidTr="00AA101D">
        <w:trPr>
          <w:trHeight w:val="302"/>
        </w:trPr>
        <w:tc>
          <w:tcPr>
            <w:tcW w:w="1884" w:type="dxa"/>
            <w:shd w:val="clear" w:color="auto" w:fill="BDD6EE" w:themeFill="accent1" w:themeFillTint="66"/>
            <w:noWrap/>
            <w:hideMark/>
          </w:tcPr>
          <w:p w14:paraId="631804D1" w14:textId="77777777" w:rsidR="00AA101D" w:rsidRPr="00AA101D" w:rsidRDefault="00AA101D" w:rsidP="00FC4853">
            <w:pPr>
              <w:jc w:val="both"/>
            </w:pPr>
            <w:r w:rsidRPr="00AA101D">
              <w:t>Age of applicant</w:t>
            </w:r>
          </w:p>
        </w:tc>
        <w:tc>
          <w:tcPr>
            <w:tcW w:w="1293" w:type="dxa"/>
            <w:shd w:val="clear" w:color="auto" w:fill="BDD6EE" w:themeFill="accent1" w:themeFillTint="66"/>
            <w:noWrap/>
            <w:hideMark/>
          </w:tcPr>
          <w:p w14:paraId="2B7DC262" w14:textId="77777777" w:rsidR="00AA101D" w:rsidRPr="00AA101D" w:rsidRDefault="00AA101D" w:rsidP="00FC4853">
            <w:pPr>
              <w:jc w:val="both"/>
            </w:pPr>
            <w:r w:rsidRPr="00AA101D">
              <w:t>2018/19</w:t>
            </w:r>
          </w:p>
        </w:tc>
        <w:tc>
          <w:tcPr>
            <w:tcW w:w="1515" w:type="dxa"/>
            <w:shd w:val="clear" w:color="auto" w:fill="BDD6EE" w:themeFill="accent1" w:themeFillTint="66"/>
            <w:noWrap/>
            <w:hideMark/>
          </w:tcPr>
          <w:p w14:paraId="1296F821" w14:textId="77777777" w:rsidR="00AA101D" w:rsidRPr="00AA101D" w:rsidRDefault="00AA101D" w:rsidP="00FC4853">
            <w:pPr>
              <w:jc w:val="both"/>
            </w:pPr>
            <w:r w:rsidRPr="00AA101D">
              <w:t>2019/20</w:t>
            </w:r>
          </w:p>
        </w:tc>
        <w:tc>
          <w:tcPr>
            <w:tcW w:w="1404" w:type="dxa"/>
            <w:shd w:val="clear" w:color="auto" w:fill="BDD6EE" w:themeFill="accent1" w:themeFillTint="66"/>
            <w:noWrap/>
            <w:hideMark/>
          </w:tcPr>
          <w:p w14:paraId="44B9CB40" w14:textId="77777777" w:rsidR="00AA101D" w:rsidRPr="00AA101D" w:rsidRDefault="00AA101D" w:rsidP="00FC4853">
            <w:pPr>
              <w:jc w:val="both"/>
            </w:pPr>
            <w:r w:rsidRPr="00AA101D">
              <w:t>2020/21</w:t>
            </w:r>
          </w:p>
        </w:tc>
        <w:tc>
          <w:tcPr>
            <w:tcW w:w="1256" w:type="dxa"/>
            <w:shd w:val="clear" w:color="auto" w:fill="BDD6EE" w:themeFill="accent1" w:themeFillTint="66"/>
            <w:noWrap/>
            <w:hideMark/>
          </w:tcPr>
          <w:p w14:paraId="26B7381C" w14:textId="77777777" w:rsidR="00AA101D" w:rsidRPr="00AA101D" w:rsidRDefault="00AA101D" w:rsidP="00FC4853">
            <w:pPr>
              <w:jc w:val="both"/>
            </w:pPr>
            <w:r w:rsidRPr="00AA101D">
              <w:t>2021/22</w:t>
            </w:r>
          </w:p>
        </w:tc>
        <w:tc>
          <w:tcPr>
            <w:tcW w:w="970" w:type="dxa"/>
            <w:shd w:val="clear" w:color="auto" w:fill="BDD6EE" w:themeFill="accent1" w:themeFillTint="66"/>
            <w:noWrap/>
            <w:hideMark/>
          </w:tcPr>
          <w:p w14:paraId="5DF04630" w14:textId="77777777" w:rsidR="00AA101D" w:rsidRPr="00AA101D" w:rsidRDefault="00AA101D" w:rsidP="00FC4853">
            <w:pPr>
              <w:jc w:val="both"/>
            </w:pPr>
            <w:r w:rsidRPr="00AA101D">
              <w:t>2022/23</w:t>
            </w:r>
          </w:p>
        </w:tc>
      </w:tr>
      <w:tr w:rsidR="00AA101D" w:rsidRPr="00AA101D" w14:paraId="1B863EFB" w14:textId="77777777" w:rsidTr="00AA101D">
        <w:trPr>
          <w:trHeight w:val="302"/>
        </w:trPr>
        <w:tc>
          <w:tcPr>
            <w:tcW w:w="1884" w:type="dxa"/>
            <w:noWrap/>
            <w:hideMark/>
          </w:tcPr>
          <w:p w14:paraId="4D2DA9BF" w14:textId="77777777" w:rsidR="00AA101D" w:rsidRPr="00AA101D" w:rsidRDefault="00AA101D" w:rsidP="00FC4853">
            <w:pPr>
              <w:jc w:val="both"/>
            </w:pPr>
            <w:r w:rsidRPr="00AA101D">
              <w:t>16-25</w:t>
            </w:r>
          </w:p>
        </w:tc>
        <w:tc>
          <w:tcPr>
            <w:tcW w:w="1293" w:type="dxa"/>
            <w:noWrap/>
            <w:hideMark/>
          </w:tcPr>
          <w:p w14:paraId="6BD5D6F5" w14:textId="77777777" w:rsidR="00AA101D" w:rsidRPr="00AA101D" w:rsidRDefault="00AA101D" w:rsidP="00FC4853">
            <w:pPr>
              <w:jc w:val="both"/>
            </w:pPr>
            <w:r w:rsidRPr="00AA101D">
              <w:t>44</w:t>
            </w:r>
          </w:p>
        </w:tc>
        <w:tc>
          <w:tcPr>
            <w:tcW w:w="1515" w:type="dxa"/>
            <w:noWrap/>
            <w:hideMark/>
          </w:tcPr>
          <w:p w14:paraId="05A4554A" w14:textId="77777777" w:rsidR="00AA101D" w:rsidRPr="00AA101D" w:rsidRDefault="00AA101D" w:rsidP="00FC4853">
            <w:pPr>
              <w:jc w:val="both"/>
            </w:pPr>
            <w:r w:rsidRPr="00AA101D">
              <w:t>60</w:t>
            </w:r>
          </w:p>
        </w:tc>
        <w:tc>
          <w:tcPr>
            <w:tcW w:w="1404" w:type="dxa"/>
            <w:noWrap/>
            <w:hideMark/>
          </w:tcPr>
          <w:p w14:paraId="0C68BB19" w14:textId="77777777" w:rsidR="00AA101D" w:rsidRPr="00AA101D" w:rsidRDefault="00AA101D" w:rsidP="00FC4853">
            <w:pPr>
              <w:jc w:val="both"/>
            </w:pPr>
            <w:r w:rsidRPr="00AA101D">
              <w:t>53</w:t>
            </w:r>
          </w:p>
        </w:tc>
        <w:tc>
          <w:tcPr>
            <w:tcW w:w="1256" w:type="dxa"/>
            <w:noWrap/>
            <w:hideMark/>
          </w:tcPr>
          <w:p w14:paraId="28DE5EF0" w14:textId="77777777" w:rsidR="00AA101D" w:rsidRPr="00AA101D" w:rsidRDefault="00AA101D" w:rsidP="00FC4853">
            <w:pPr>
              <w:jc w:val="both"/>
            </w:pPr>
            <w:r w:rsidRPr="00AA101D">
              <w:t>58</w:t>
            </w:r>
          </w:p>
        </w:tc>
        <w:tc>
          <w:tcPr>
            <w:tcW w:w="970" w:type="dxa"/>
            <w:noWrap/>
            <w:hideMark/>
          </w:tcPr>
          <w:p w14:paraId="75ECE125" w14:textId="77777777" w:rsidR="00AA101D" w:rsidRPr="00AA101D" w:rsidRDefault="00AA101D" w:rsidP="00FC4853">
            <w:pPr>
              <w:jc w:val="both"/>
            </w:pPr>
            <w:r w:rsidRPr="00AA101D">
              <w:t>48</w:t>
            </w:r>
          </w:p>
        </w:tc>
      </w:tr>
      <w:tr w:rsidR="00AA101D" w:rsidRPr="00AA101D" w14:paraId="726EBB5F" w14:textId="77777777" w:rsidTr="00AA101D">
        <w:trPr>
          <w:trHeight w:val="302"/>
        </w:trPr>
        <w:tc>
          <w:tcPr>
            <w:tcW w:w="1884" w:type="dxa"/>
            <w:noWrap/>
            <w:hideMark/>
          </w:tcPr>
          <w:p w14:paraId="082AE473" w14:textId="77777777" w:rsidR="00AA101D" w:rsidRPr="00AA101D" w:rsidRDefault="00AA101D" w:rsidP="00FC4853">
            <w:pPr>
              <w:jc w:val="both"/>
            </w:pPr>
            <w:r w:rsidRPr="00AA101D">
              <w:t>26-59</w:t>
            </w:r>
          </w:p>
        </w:tc>
        <w:tc>
          <w:tcPr>
            <w:tcW w:w="1293" w:type="dxa"/>
            <w:noWrap/>
            <w:hideMark/>
          </w:tcPr>
          <w:p w14:paraId="708ACB45" w14:textId="77777777" w:rsidR="00AA101D" w:rsidRPr="00AA101D" w:rsidRDefault="00AA101D" w:rsidP="00FC4853">
            <w:pPr>
              <w:jc w:val="both"/>
            </w:pPr>
            <w:r w:rsidRPr="00AA101D">
              <w:t>160</w:t>
            </w:r>
          </w:p>
        </w:tc>
        <w:tc>
          <w:tcPr>
            <w:tcW w:w="1515" w:type="dxa"/>
            <w:noWrap/>
            <w:hideMark/>
          </w:tcPr>
          <w:p w14:paraId="17A4F873" w14:textId="77777777" w:rsidR="00AA101D" w:rsidRPr="00AA101D" w:rsidRDefault="00AA101D" w:rsidP="00FC4853">
            <w:pPr>
              <w:jc w:val="both"/>
            </w:pPr>
            <w:r w:rsidRPr="00AA101D">
              <w:t>189</w:t>
            </w:r>
          </w:p>
        </w:tc>
        <w:tc>
          <w:tcPr>
            <w:tcW w:w="1404" w:type="dxa"/>
            <w:noWrap/>
            <w:hideMark/>
          </w:tcPr>
          <w:p w14:paraId="2EDC1A49" w14:textId="77777777" w:rsidR="00AA101D" w:rsidRPr="00AA101D" w:rsidRDefault="00AA101D" w:rsidP="00FC4853">
            <w:pPr>
              <w:jc w:val="both"/>
            </w:pPr>
            <w:r w:rsidRPr="00AA101D">
              <w:t>249</w:t>
            </w:r>
          </w:p>
        </w:tc>
        <w:tc>
          <w:tcPr>
            <w:tcW w:w="1256" w:type="dxa"/>
            <w:noWrap/>
            <w:hideMark/>
          </w:tcPr>
          <w:p w14:paraId="4CE93970" w14:textId="77777777" w:rsidR="00AA101D" w:rsidRPr="00AA101D" w:rsidRDefault="00AA101D" w:rsidP="00FC4853">
            <w:pPr>
              <w:jc w:val="both"/>
            </w:pPr>
            <w:r w:rsidRPr="00AA101D">
              <w:t>256</w:t>
            </w:r>
          </w:p>
        </w:tc>
        <w:tc>
          <w:tcPr>
            <w:tcW w:w="970" w:type="dxa"/>
            <w:noWrap/>
            <w:hideMark/>
          </w:tcPr>
          <w:p w14:paraId="2A4D4C24" w14:textId="77777777" w:rsidR="00AA101D" w:rsidRPr="00AA101D" w:rsidRDefault="00AA101D" w:rsidP="00FC4853">
            <w:pPr>
              <w:jc w:val="both"/>
            </w:pPr>
            <w:r w:rsidRPr="00AA101D">
              <w:t>233</w:t>
            </w:r>
          </w:p>
        </w:tc>
      </w:tr>
      <w:tr w:rsidR="00AA101D" w:rsidRPr="00AA101D" w14:paraId="62B589F6" w14:textId="77777777" w:rsidTr="00AA101D">
        <w:trPr>
          <w:trHeight w:val="302"/>
        </w:trPr>
        <w:tc>
          <w:tcPr>
            <w:tcW w:w="1884" w:type="dxa"/>
            <w:noWrap/>
            <w:hideMark/>
          </w:tcPr>
          <w:p w14:paraId="1D17117E" w14:textId="77777777" w:rsidR="00AA101D" w:rsidRPr="00AA101D" w:rsidRDefault="00AA101D" w:rsidP="00FC4853">
            <w:pPr>
              <w:jc w:val="both"/>
            </w:pPr>
            <w:r w:rsidRPr="00AA101D">
              <w:t>60+</w:t>
            </w:r>
          </w:p>
        </w:tc>
        <w:tc>
          <w:tcPr>
            <w:tcW w:w="1293" w:type="dxa"/>
            <w:noWrap/>
            <w:hideMark/>
          </w:tcPr>
          <w:p w14:paraId="1906CA7E" w14:textId="77777777" w:rsidR="00AA101D" w:rsidRPr="00AA101D" w:rsidRDefault="00AA101D" w:rsidP="00FC4853">
            <w:pPr>
              <w:jc w:val="both"/>
            </w:pPr>
            <w:r w:rsidRPr="00AA101D">
              <w:t>1</w:t>
            </w:r>
          </w:p>
        </w:tc>
        <w:tc>
          <w:tcPr>
            <w:tcW w:w="1515" w:type="dxa"/>
            <w:noWrap/>
            <w:hideMark/>
          </w:tcPr>
          <w:p w14:paraId="349314B2" w14:textId="77777777" w:rsidR="00AA101D" w:rsidRPr="00AA101D" w:rsidRDefault="00AA101D" w:rsidP="00FC4853">
            <w:pPr>
              <w:jc w:val="both"/>
            </w:pPr>
            <w:r w:rsidRPr="00AA101D">
              <w:t>6</w:t>
            </w:r>
          </w:p>
        </w:tc>
        <w:tc>
          <w:tcPr>
            <w:tcW w:w="1404" w:type="dxa"/>
            <w:noWrap/>
            <w:hideMark/>
          </w:tcPr>
          <w:p w14:paraId="098DD11A" w14:textId="77777777" w:rsidR="00AA101D" w:rsidRPr="00AA101D" w:rsidRDefault="00AA101D" w:rsidP="00FC4853">
            <w:pPr>
              <w:jc w:val="both"/>
            </w:pPr>
            <w:r w:rsidRPr="00AA101D">
              <w:t>9</w:t>
            </w:r>
          </w:p>
        </w:tc>
        <w:tc>
          <w:tcPr>
            <w:tcW w:w="1256" w:type="dxa"/>
            <w:noWrap/>
            <w:hideMark/>
          </w:tcPr>
          <w:p w14:paraId="209B7D28" w14:textId="77777777" w:rsidR="00AA101D" w:rsidRPr="00AA101D" w:rsidRDefault="00AA101D" w:rsidP="00FC4853">
            <w:pPr>
              <w:jc w:val="both"/>
            </w:pPr>
            <w:r w:rsidRPr="00AA101D">
              <w:t>11</w:t>
            </w:r>
          </w:p>
        </w:tc>
        <w:tc>
          <w:tcPr>
            <w:tcW w:w="970" w:type="dxa"/>
            <w:noWrap/>
            <w:hideMark/>
          </w:tcPr>
          <w:p w14:paraId="081D2F8B" w14:textId="77777777" w:rsidR="00AA101D" w:rsidRPr="00AA101D" w:rsidRDefault="00AA101D" w:rsidP="00FC4853">
            <w:pPr>
              <w:jc w:val="both"/>
            </w:pPr>
            <w:r w:rsidRPr="00AA101D">
              <w:t>11</w:t>
            </w:r>
          </w:p>
        </w:tc>
      </w:tr>
    </w:tbl>
    <w:p w14:paraId="59315B45" w14:textId="03672E7F" w:rsidR="000A247E" w:rsidRDefault="000A247E" w:rsidP="00FC4853">
      <w:pPr>
        <w:jc w:val="both"/>
        <w:rPr>
          <w:u w:val="single"/>
        </w:rPr>
      </w:pPr>
    </w:p>
    <w:p w14:paraId="286F6301" w14:textId="25CC9D81" w:rsidR="00AA101D" w:rsidRDefault="00AA101D" w:rsidP="00FC4853">
      <w:pPr>
        <w:jc w:val="both"/>
        <w:rPr>
          <w:color w:val="000000" w:themeColor="text1"/>
        </w:rPr>
      </w:pPr>
      <w:r>
        <w:rPr>
          <w:color w:val="000000" w:themeColor="text1"/>
        </w:rPr>
        <w:t xml:space="preserve">The age profile of Inverclyde’s homeless population </w:t>
      </w:r>
      <w:r w:rsidR="00FC4853">
        <w:rPr>
          <w:color w:val="000000" w:themeColor="text1"/>
        </w:rPr>
        <w:t>mainly</w:t>
      </w:r>
      <w:r>
        <w:rPr>
          <w:color w:val="000000" w:themeColor="text1"/>
        </w:rPr>
        <w:t xml:space="preserve"> falls within the 26-59 age range at 80%.</w:t>
      </w:r>
    </w:p>
    <w:p w14:paraId="242F91C0" w14:textId="1B579FFE" w:rsidR="00AA101D" w:rsidRDefault="00336A3D" w:rsidP="00FC4853">
      <w:pPr>
        <w:jc w:val="both"/>
        <w:rPr>
          <w:color w:val="000000" w:themeColor="text1"/>
        </w:rPr>
      </w:pPr>
      <w:r>
        <w:rPr>
          <w:color w:val="000000" w:themeColor="text1"/>
        </w:rPr>
        <w:t xml:space="preserve">Whilst </w:t>
      </w:r>
      <w:r w:rsidR="00F672EB">
        <w:rPr>
          <w:color w:val="000000" w:themeColor="text1"/>
        </w:rPr>
        <w:t xml:space="preserve">applicants aged 60+ remains the smallest group within the service, there has been a significant increase from the baseline figure from 2018/19. Although upon further analysis, this baseline figure appears to be an outlier which could misrepresent the numbers of this group. </w:t>
      </w:r>
    </w:p>
    <w:p w14:paraId="3AFC403D" w14:textId="530076F2" w:rsidR="00AA101D" w:rsidRDefault="00F672EB" w:rsidP="00FC4853">
      <w:pPr>
        <w:jc w:val="both"/>
        <w:rPr>
          <w:color w:val="000000" w:themeColor="text1"/>
        </w:rPr>
      </w:pPr>
      <w:r w:rsidRPr="00F672EB">
        <w:rPr>
          <w:color w:val="000000" w:themeColor="text1"/>
        </w:rPr>
        <w:lastRenderedPageBreak/>
        <w:t xml:space="preserve">Scottish Government statistics from 2018-2019 </w:t>
      </w:r>
      <w:r>
        <w:rPr>
          <w:color w:val="000000" w:themeColor="text1"/>
        </w:rPr>
        <w:t>indicated</w:t>
      </w:r>
      <w:r w:rsidRPr="00F672EB">
        <w:rPr>
          <w:color w:val="000000" w:themeColor="text1"/>
        </w:rPr>
        <w:t xml:space="preserve"> that Inverclyde had the lowest rate of youth homelessness of all local authorities in Scotland, at a </w:t>
      </w:r>
      <w:r w:rsidRPr="003F5C4C">
        <w:rPr>
          <w:color w:val="000000" w:themeColor="text1"/>
        </w:rPr>
        <w:t>rate of 3.5 per 1000.</w:t>
      </w:r>
      <w:r w:rsidRPr="003F5C4C">
        <w:rPr>
          <w:color w:val="000000" w:themeColor="text1"/>
          <w:vertAlign w:val="superscript"/>
        </w:rPr>
        <w:footnoteReference w:id="7"/>
      </w:r>
      <w:r w:rsidRPr="003F5C4C">
        <w:rPr>
          <w:color w:val="000000" w:themeColor="text1"/>
        </w:rPr>
        <w:t xml:space="preserve">  </w:t>
      </w:r>
      <w:r w:rsidR="002871E9" w:rsidRPr="003F5C4C">
        <w:rPr>
          <w:color w:val="000000" w:themeColor="text1"/>
        </w:rPr>
        <w:t>With little change in this area, applicants aged 16-2</w:t>
      </w:r>
      <w:r w:rsidR="00D62980" w:rsidRPr="003F5C4C">
        <w:rPr>
          <w:color w:val="000000" w:themeColor="text1"/>
        </w:rPr>
        <w:t>5</w:t>
      </w:r>
      <w:r w:rsidR="002871E9" w:rsidRPr="003F5C4C">
        <w:rPr>
          <w:color w:val="000000" w:themeColor="text1"/>
        </w:rPr>
        <w:t xml:space="preserve"> accoun</w:t>
      </w:r>
      <w:r w:rsidR="003F5C4C">
        <w:rPr>
          <w:color w:val="000000" w:themeColor="text1"/>
        </w:rPr>
        <w:t>t</w:t>
      </w:r>
      <w:r w:rsidR="002871E9" w:rsidRPr="003F5C4C">
        <w:rPr>
          <w:color w:val="000000" w:themeColor="text1"/>
        </w:rPr>
        <w:t xml:space="preserve"> for 16% of cases,</w:t>
      </w:r>
      <w:r w:rsidR="003F5C4C">
        <w:rPr>
          <w:color w:val="000000" w:themeColor="text1"/>
        </w:rPr>
        <w:t xml:space="preserve"> and</w:t>
      </w:r>
      <w:r w:rsidR="0067587B" w:rsidRPr="003F5C4C">
        <w:rPr>
          <w:color w:val="000000" w:themeColor="text1"/>
        </w:rPr>
        <w:t xml:space="preserve"> while every effort is made through the integrated management of the HSCP to avoid youth homelessness</w:t>
      </w:r>
      <w:r w:rsidR="006A2B92" w:rsidRPr="003F5C4C">
        <w:rPr>
          <w:color w:val="000000" w:themeColor="text1"/>
        </w:rPr>
        <w:t xml:space="preserve"> a small number of individuals with complex needs have highlighted the necessity to consider transitional pathways from children’s service to independent living and the support from adult services.</w:t>
      </w:r>
      <w:r w:rsidR="006A2B92" w:rsidRPr="003F5C4C" w:rsidDel="006A2B92">
        <w:rPr>
          <w:color w:val="000000" w:themeColor="text1"/>
        </w:rPr>
        <w:t xml:space="preserve"> </w:t>
      </w:r>
    </w:p>
    <w:p w14:paraId="68E6B4D5" w14:textId="77777777" w:rsidR="00606B5F" w:rsidRPr="002871E9" w:rsidRDefault="00606B5F" w:rsidP="00E54D81">
      <w:pPr>
        <w:rPr>
          <w:color w:val="FF0000"/>
        </w:rPr>
      </w:pPr>
    </w:p>
    <w:p w14:paraId="55874C1E" w14:textId="024B6952" w:rsidR="00F538D6" w:rsidRPr="0022174C" w:rsidRDefault="00F538D6">
      <w:pPr>
        <w:pStyle w:val="ListParagraph"/>
        <w:numPr>
          <w:ilvl w:val="1"/>
          <w:numId w:val="15"/>
        </w:numPr>
        <w:rPr>
          <w:u w:val="single"/>
        </w:rPr>
      </w:pPr>
      <w:r w:rsidRPr="0022174C">
        <w:rPr>
          <w:u w:val="single"/>
        </w:rPr>
        <w:t xml:space="preserve">Number of children </w:t>
      </w:r>
      <w:r w:rsidR="00AA101D">
        <w:rPr>
          <w:u w:val="single"/>
        </w:rPr>
        <w:t>a</w:t>
      </w:r>
      <w:r w:rsidRPr="0022174C">
        <w:rPr>
          <w:u w:val="single"/>
        </w:rPr>
        <w:t>ffected and/or children in temp</w:t>
      </w:r>
    </w:p>
    <w:p w14:paraId="6DA372CF" w14:textId="10DC7B8D" w:rsidR="00B46C81" w:rsidRDefault="00B46C81" w:rsidP="00B46C81">
      <w:pPr>
        <w:pStyle w:val="ListParagraph"/>
        <w:ind w:left="360"/>
        <w:rPr>
          <w:u w:val="single"/>
        </w:rPr>
      </w:pPr>
    </w:p>
    <w:p w14:paraId="448C4386" w14:textId="5B57D858" w:rsidR="00B46C81" w:rsidRPr="002871E9" w:rsidRDefault="00B46C81" w:rsidP="005F348D">
      <w:pPr>
        <w:pStyle w:val="ListParagraph"/>
        <w:ind w:left="360"/>
        <w:rPr>
          <w:i/>
          <w:iCs/>
          <w:sz w:val="18"/>
          <w:szCs w:val="18"/>
        </w:rPr>
      </w:pPr>
      <w:r w:rsidRPr="002871E9">
        <w:rPr>
          <w:i/>
          <w:iCs/>
          <w:sz w:val="18"/>
          <w:szCs w:val="18"/>
        </w:rPr>
        <w:t>Graph</w:t>
      </w:r>
      <w:r w:rsidR="009F35D4" w:rsidRPr="002871E9">
        <w:rPr>
          <w:i/>
          <w:iCs/>
          <w:sz w:val="18"/>
          <w:szCs w:val="18"/>
        </w:rPr>
        <w:t xml:space="preserve"> 5</w:t>
      </w:r>
      <w:r w:rsidRPr="002871E9">
        <w:rPr>
          <w:i/>
          <w:iCs/>
          <w:sz w:val="18"/>
          <w:szCs w:val="18"/>
        </w:rPr>
        <w:t>: Number of children associated with applications assessed as homeless or threatened with homelessness</w:t>
      </w:r>
      <w:r w:rsidR="00C40D56" w:rsidRPr="002871E9">
        <w:rPr>
          <w:i/>
          <w:iCs/>
          <w:sz w:val="18"/>
          <w:szCs w:val="18"/>
        </w:rPr>
        <w:t xml:space="preserve"> 2018/19-2022/23</w:t>
      </w:r>
    </w:p>
    <w:p w14:paraId="343CA56C" w14:textId="356508F5" w:rsidR="00B46C81" w:rsidRPr="00B46C81" w:rsidRDefault="00E5310D" w:rsidP="00B46C81">
      <w:r>
        <w:rPr>
          <w:noProof/>
        </w:rPr>
        <w:drawing>
          <wp:anchor distT="0" distB="0" distL="114300" distR="114300" simplePos="0" relativeHeight="251668480" behindDoc="1" locked="0" layoutInCell="1" allowOverlap="1" wp14:anchorId="66B97515" wp14:editId="77538C1A">
            <wp:simplePos x="0" y="0"/>
            <wp:positionH relativeFrom="margin">
              <wp:align>right</wp:align>
            </wp:positionH>
            <wp:positionV relativeFrom="paragraph">
              <wp:posOffset>63500</wp:posOffset>
            </wp:positionV>
            <wp:extent cx="4940300" cy="2686050"/>
            <wp:effectExtent l="0" t="0" r="12700" b="0"/>
            <wp:wrapTight wrapText="bothSides">
              <wp:wrapPolygon edited="0">
                <wp:start x="0" y="0"/>
                <wp:lineTo x="0" y="21447"/>
                <wp:lineTo x="21572" y="21447"/>
                <wp:lineTo x="21572" y="0"/>
                <wp:lineTo x="0" y="0"/>
              </wp:wrapPolygon>
            </wp:wrapTight>
            <wp:docPr id="3" name="Chart 3">
              <a:extLst xmlns:a="http://schemas.openxmlformats.org/drawingml/2006/main">
                <a:ext uri="{FF2B5EF4-FFF2-40B4-BE49-F238E27FC236}">
                  <a16:creationId xmlns:a16="http://schemas.microsoft.com/office/drawing/2014/main" id="{F3EB7AB7-4079-440E-B6DC-DEA1BB76E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826FF2A" w14:textId="683ED2F7" w:rsidR="00B46C81" w:rsidRDefault="00B46C81" w:rsidP="00B46C81"/>
    <w:p w14:paraId="4D304E4F" w14:textId="5138FAD9" w:rsidR="00815692" w:rsidRDefault="00815692" w:rsidP="00B46C81"/>
    <w:p w14:paraId="11FC41FC" w14:textId="77777777" w:rsidR="00815692" w:rsidRPr="00B46C81" w:rsidRDefault="00815692" w:rsidP="00B46C81"/>
    <w:p w14:paraId="556DB1EA" w14:textId="6C4F49D4" w:rsidR="00B46C81" w:rsidRPr="00B46C81" w:rsidRDefault="00B46C81" w:rsidP="00B46C81"/>
    <w:p w14:paraId="38D03277" w14:textId="262CE12A" w:rsidR="00B46C81" w:rsidRPr="00B46C81" w:rsidRDefault="00B46C81" w:rsidP="00B46C81"/>
    <w:p w14:paraId="683D3D51" w14:textId="77777777" w:rsidR="00B46C81" w:rsidRPr="00B46C81" w:rsidRDefault="00B46C81" w:rsidP="00B46C81"/>
    <w:p w14:paraId="72E806BB" w14:textId="77777777" w:rsidR="00CC5265" w:rsidRDefault="00CC5265" w:rsidP="00CC5265"/>
    <w:p w14:paraId="0EC2B11A" w14:textId="77777777" w:rsidR="00CC5265" w:rsidRDefault="00CC5265" w:rsidP="00CC5265"/>
    <w:p w14:paraId="4B7C2772" w14:textId="77777777" w:rsidR="00CC5265" w:rsidRDefault="00CC5265" w:rsidP="00CC5265"/>
    <w:p w14:paraId="6E2E9057" w14:textId="77777777" w:rsidR="00CC5265" w:rsidRDefault="00CC5265" w:rsidP="00CC5265"/>
    <w:p w14:paraId="4DEADA42" w14:textId="53155771" w:rsidR="00CC5265" w:rsidRPr="00CC5265" w:rsidRDefault="00CC5265" w:rsidP="00336A3D">
      <w:pPr>
        <w:ind w:left="720"/>
        <w:jc w:val="both"/>
        <w:rPr>
          <w:color w:val="FF0000"/>
        </w:rPr>
      </w:pPr>
      <w:r w:rsidRPr="001826DD">
        <w:t>The</w:t>
      </w:r>
      <w:r>
        <w:t xml:space="preserve"> number of households with</w:t>
      </w:r>
      <w:r w:rsidRPr="001826DD">
        <w:t xml:space="preserve"> children in temporary accommodation </w:t>
      </w:r>
      <w:r>
        <w:t xml:space="preserve">increased nationally </w:t>
      </w:r>
      <w:r w:rsidR="0005384F">
        <w:t>because of</w:t>
      </w:r>
      <w:r>
        <w:t xml:space="preserve"> the pandemic, with 30</w:t>
      </w:r>
      <w:r w:rsidRPr="00CC5265">
        <w:rPr>
          <w:vertAlign w:val="superscript"/>
        </w:rPr>
        <w:t>th</w:t>
      </w:r>
      <w:r>
        <w:t xml:space="preserve"> September 2022 recording the highest number of children in temporary accommodation since recording of the Homelessness Statistics series began in 2002.</w:t>
      </w:r>
      <w:r>
        <w:rPr>
          <w:rStyle w:val="FootnoteReference"/>
        </w:rPr>
        <w:footnoteReference w:id="8"/>
      </w:r>
      <w:r>
        <w:t xml:space="preserve"> </w:t>
      </w:r>
    </w:p>
    <w:p w14:paraId="4FA7E311" w14:textId="7FB8A42C" w:rsidR="00944ED9" w:rsidRDefault="00342C6A">
      <w:pPr>
        <w:pStyle w:val="ListParagraph"/>
        <w:numPr>
          <w:ilvl w:val="0"/>
          <w:numId w:val="23"/>
        </w:numPr>
        <w:jc w:val="both"/>
      </w:pPr>
      <w:r>
        <w:t>The</w:t>
      </w:r>
      <w:r w:rsidR="00944ED9">
        <w:t xml:space="preserve"> number of </w:t>
      </w:r>
      <w:r>
        <w:t>children associated with homeless applications</w:t>
      </w:r>
      <w:r w:rsidR="00CC5265">
        <w:t xml:space="preserve"> in Inverclyde</w:t>
      </w:r>
      <w:r>
        <w:t xml:space="preserve"> this</w:t>
      </w:r>
      <w:r w:rsidR="00CC5265">
        <w:t xml:space="preserve"> past</w:t>
      </w:r>
      <w:r>
        <w:t xml:space="preserve"> year</w:t>
      </w:r>
      <w:r w:rsidR="00944ED9">
        <w:t xml:space="preserve"> has increased by 23% </w:t>
      </w:r>
      <w:r w:rsidR="00BD49C7">
        <w:t xml:space="preserve">- </w:t>
      </w:r>
      <w:r w:rsidR="00944ED9">
        <w:t xml:space="preserve">from 116 in 2021/22 to 143 in 2022/23. </w:t>
      </w:r>
    </w:p>
    <w:p w14:paraId="78A28EF2" w14:textId="77777777" w:rsidR="00336A3D" w:rsidRDefault="00944ED9">
      <w:pPr>
        <w:pStyle w:val="ListParagraph"/>
        <w:numPr>
          <w:ilvl w:val="0"/>
          <w:numId w:val="23"/>
        </w:numPr>
        <w:jc w:val="both"/>
      </w:pPr>
      <w:r>
        <w:t>This</w:t>
      </w:r>
      <w:r w:rsidR="00342C6A">
        <w:t xml:space="preserve"> amoun</w:t>
      </w:r>
      <w:r w:rsidR="00E759FB">
        <w:t>t</w:t>
      </w:r>
      <w:r>
        <w:t>s</w:t>
      </w:r>
      <w:r w:rsidR="00E759FB">
        <w:t xml:space="preserve"> to </w:t>
      </w:r>
      <w:r>
        <w:t>31</w:t>
      </w:r>
      <w:r w:rsidR="00342C6A">
        <w:t>% of all those associated with homeless applications in the area</w:t>
      </w:r>
      <w:r w:rsidR="00025170">
        <w:t xml:space="preserve"> – </w:t>
      </w:r>
      <w:r>
        <w:t>increasing</w:t>
      </w:r>
      <w:r w:rsidR="00025170">
        <w:t xml:space="preserve"> f</w:t>
      </w:r>
      <w:r w:rsidR="00D74880">
        <w:t>rom</w:t>
      </w:r>
      <w:r w:rsidR="00025170">
        <w:t xml:space="preserve"> 25% in 2021/22.</w:t>
      </w:r>
      <w:r w:rsidR="00342C6A">
        <w:t xml:space="preserve"> </w:t>
      </w:r>
    </w:p>
    <w:p w14:paraId="13115AC0" w14:textId="4D8C8248" w:rsidR="00FE0673" w:rsidRPr="00336A3D" w:rsidRDefault="004122E6">
      <w:pPr>
        <w:pStyle w:val="ListParagraph"/>
        <w:numPr>
          <w:ilvl w:val="0"/>
          <w:numId w:val="23"/>
        </w:numPr>
        <w:jc w:val="both"/>
      </w:pPr>
      <w:r>
        <w:t xml:space="preserve">In </w:t>
      </w:r>
      <w:r w:rsidR="00944ED9" w:rsidRPr="00944ED9">
        <w:t xml:space="preserve">Inverclyde </w:t>
      </w:r>
      <w:r w:rsidR="00CC3FD6">
        <w:t>as of 31</w:t>
      </w:r>
      <w:r w:rsidR="00CC3FD6" w:rsidRPr="00336A3D">
        <w:rPr>
          <w:vertAlign w:val="superscript"/>
        </w:rPr>
        <w:t>st</w:t>
      </w:r>
      <w:r w:rsidR="00CC3FD6">
        <w:t xml:space="preserve"> March 2022 there were 2 children in temporary accommodation</w:t>
      </w:r>
      <w:r w:rsidR="0004533E">
        <w:t xml:space="preserve"> while at</w:t>
      </w:r>
      <w:r w:rsidR="00CC3FD6">
        <w:t xml:space="preserve"> the date 31</w:t>
      </w:r>
      <w:r w:rsidR="00CC3FD6" w:rsidRPr="00336A3D">
        <w:rPr>
          <w:vertAlign w:val="superscript"/>
        </w:rPr>
        <w:t>st</w:t>
      </w:r>
      <w:r w:rsidR="00CC3FD6">
        <w:t xml:space="preserve"> March 2023</w:t>
      </w:r>
      <w:r w:rsidR="00944ED9" w:rsidRPr="00944ED9">
        <w:t xml:space="preserve"> there was</w:t>
      </w:r>
      <w:r w:rsidR="00944ED9">
        <w:t xml:space="preserve"> </w:t>
      </w:r>
      <w:r w:rsidR="00CC3FD6">
        <w:t>3</w:t>
      </w:r>
      <w:r w:rsidR="00944ED9" w:rsidRPr="00944ED9">
        <w:t xml:space="preserve"> </w:t>
      </w:r>
      <w:r w:rsidR="00944ED9">
        <w:t>c</w:t>
      </w:r>
      <w:r w:rsidR="00944ED9" w:rsidRPr="00944ED9">
        <w:t>hildren recorded to be staying within temporary accommodation</w:t>
      </w:r>
      <w:r w:rsidR="009628F9">
        <w:t>.</w:t>
      </w:r>
    </w:p>
    <w:p w14:paraId="1D392886" w14:textId="77777777" w:rsidR="00606B5F" w:rsidRPr="009628F9" w:rsidRDefault="00606B5F" w:rsidP="009628F9">
      <w:pPr>
        <w:pStyle w:val="ListParagraph"/>
        <w:ind w:left="1440"/>
        <w:rPr>
          <w:color w:val="FF0000"/>
        </w:rPr>
      </w:pPr>
    </w:p>
    <w:p w14:paraId="47DEF440" w14:textId="73192487" w:rsidR="00102DB2" w:rsidRDefault="002918C2">
      <w:pPr>
        <w:pStyle w:val="ListParagraph"/>
        <w:numPr>
          <w:ilvl w:val="1"/>
          <w:numId w:val="15"/>
        </w:numPr>
        <w:rPr>
          <w:u w:val="single"/>
        </w:rPr>
      </w:pPr>
      <w:r w:rsidRPr="008E4A96">
        <w:rPr>
          <w:u w:val="single"/>
        </w:rPr>
        <w:t>T</w:t>
      </w:r>
      <w:r w:rsidR="00102DB2" w:rsidRPr="008E4A96">
        <w:rPr>
          <w:u w:val="single"/>
        </w:rPr>
        <w:t>ime spent in temp</w:t>
      </w:r>
      <w:r w:rsidRPr="008E4A96">
        <w:rPr>
          <w:u w:val="single"/>
        </w:rPr>
        <w:t>orary accommodation</w:t>
      </w:r>
      <w:r w:rsidR="00102DB2" w:rsidRPr="008E4A96">
        <w:rPr>
          <w:u w:val="single"/>
        </w:rPr>
        <w:t xml:space="preserve"> </w:t>
      </w:r>
    </w:p>
    <w:p w14:paraId="269B34CC" w14:textId="77777777" w:rsidR="002871E9" w:rsidRPr="008E4A96" w:rsidRDefault="002871E9" w:rsidP="002871E9">
      <w:pPr>
        <w:pStyle w:val="ListParagraph"/>
        <w:ind w:left="360"/>
        <w:rPr>
          <w:u w:val="single"/>
        </w:rPr>
      </w:pPr>
    </w:p>
    <w:p w14:paraId="2778F6B5" w14:textId="463CF7DB" w:rsidR="008E4A96" w:rsidRPr="002871E9" w:rsidRDefault="008E4A96" w:rsidP="008E4A96">
      <w:pPr>
        <w:pStyle w:val="ListParagraph"/>
        <w:rPr>
          <w:i/>
          <w:iCs/>
          <w:sz w:val="18"/>
          <w:szCs w:val="18"/>
        </w:rPr>
      </w:pPr>
      <w:r w:rsidRPr="002871E9">
        <w:rPr>
          <w:i/>
          <w:iCs/>
          <w:sz w:val="18"/>
          <w:szCs w:val="18"/>
        </w:rPr>
        <w:lastRenderedPageBreak/>
        <w:t>Graph</w:t>
      </w:r>
      <w:r w:rsidR="009F35D4" w:rsidRPr="002871E9">
        <w:rPr>
          <w:i/>
          <w:iCs/>
          <w:sz w:val="18"/>
          <w:szCs w:val="18"/>
        </w:rPr>
        <w:t xml:space="preserve"> </w:t>
      </w:r>
      <w:r w:rsidR="002871E9" w:rsidRPr="002871E9">
        <w:rPr>
          <w:i/>
          <w:iCs/>
          <w:sz w:val="18"/>
          <w:szCs w:val="18"/>
        </w:rPr>
        <w:t>6:</w:t>
      </w:r>
      <w:r w:rsidRPr="002871E9">
        <w:rPr>
          <w:i/>
          <w:iCs/>
          <w:sz w:val="18"/>
          <w:szCs w:val="18"/>
        </w:rPr>
        <w:t xml:space="preserve"> Time (Days) spent in temporary accommodation</w:t>
      </w:r>
      <w:r w:rsidR="008A211B">
        <w:rPr>
          <w:i/>
          <w:iCs/>
          <w:sz w:val="18"/>
          <w:szCs w:val="18"/>
        </w:rPr>
        <w:t>,</w:t>
      </w:r>
      <w:r w:rsidRPr="002871E9">
        <w:rPr>
          <w:i/>
          <w:iCs/>
          <w:sz w:val="18"/>
          <w:szCs w:val="18"/>
        </w:rPr>
        <w:t xml:space="preserve"> 2018/19-2022/23</w:t>
      </w:r>
    </w:p>
    <w:p w14:paraId="1CD718EB" w14:textId="431E1F2F" w:rsidR="008E4A96" w:rsidRDefault="008E4A96" w:rsidP="00526848">
      <w:pPr>
        <w:ind w:left="720"/>
        <w:rPr>
          <w:i/>
          <w:color w:val="FF0000"/>
        </w:rPr>
      </w:pPr>
      <w:r w:rsidRPr="008E4A96">
        <w:rPr>
          <w:i/>
          <w:noProof/>
          <w:color w:val="FF0000"/>
        </w:rPr>
        <w:drawing>
          <wp:inline distT="0" distB="0" distL="0" distR="0" wp14:anchorId="759F33C0" wp14:editId="18953F12">
            <wp:extent cx="5448300" cy="17976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8300" cy="1797685"/>
                    </a:xfrm>
                    <a:prstGeom prst="rect">
                      <a:avLst/>
                    </a:prstGeom>
                  </pic:spPr>
                </pic:pic>
              </a:graphicData>
            </a:graphic>
          </wp:inline>
        </w:drawing>
      </w:r>
    </w:p>
    <w:p w14:paraId="7B8344B6" w14:textId="77777777" w:rsidR="0001399D" w:rsidRDefault="0001399D" w:rsidP="00336A3D">
      <w:pPr>
        <w:ind w:left="720"/>
        <w:jc w:val="both"/>
      </w:pPr>
    </w:p>
    <w:p w14:paraId="01BC1DE8" w14:textId="6539F545" w:rsidR="004932C1" w:rsidRPr="008638B4" w:rsidRDefault="004932C1" w:rsidP="00336A3D">
      <w:pPr>
        <w:jc w:val="both"/>
      </w:pPr>
      <w:r w:rsidRPr="004932C1">
        <w:t xml:space="preserve">The average amount of time spent in temporary accommodation in 2021/22 was reported as 138 days, while cases closed in </w:t>
      </w:r>
      <w:r>
        <w:t xml:space="preserve">2022/23 </w:t>
      </w:r>
      <w:r w:rsidRPr="004932C1">
        <w:t>time spent in temporary acc</w:t>
      </w:r>
      <w:r>
        <w:t>ommodation amounted to a</w:t>
      </w:r>
      <w:r w:rsidR="00E759FB">
        <w:t xml:space="preserve">round </w:t>
      </w:r>
      <w:r w:rsidR="008638B4">
        <w:t>113</w:t>
      </w:r>
      <w:r w:rsidR="00E759FB">
        <w:t xml:space="preserve"> days on average – a</w:t>
      </w:r>
      <w:r w:rsidR="008638B4">
        <w:t>n 18</w:t>
      </w:r>
      <w:r w:rsidRPr="004932C1">
        <w:t>% decrease.</w:t>
      </w:r>
      <w:r w:rsidR="001826DD">
        <w:t xml:space="preserve"> </w:t>
      </w:r>
    </w:p>
    <w:p w14:paraId="28D40661" w14:textId="77777777" w:rsidR="000A247E" w:rsidRPr="000A247E" w:rsidRDefault="000A247E" w:rsidP="000A247E">
      <w:pPr>
        <w:rPr>
          <w:color w:val="FF0000"/>
        </w:rPr>
      </w:pPr>
    </w:p>
    <w:p w14:paraId="69057A73" w14:textId="389A0230" w:rsidR="00102DB2" w:rsidRPr="002C5BA8" w:rsidRDefault="00F538D6" w:rsidP="002C5BA8">
      <w:pPr>
        <w:pStyle w:val="ListParagraph"/>
        <w:numPr>
          <w:ilvl w:val="1"/>
          <w:numId w:val="15"/>
        </w:numPr>
        <w:rPr>
          <w:u w:val="single"/>
        </w:rPr>
      </w:pPr>
      <w:r w:rsidRPr="002C5BA8">
        <w:rPr>
          <w:u w:val="single"/>
        </w:rPr>
        <w:t>Case duration</w:t>
      </w:r>
    </w:p>
    <w:p w14:paraId="6E74C0C1" w14:textId="7A4F109B" w:rsidR="00271E50" w:rsidRPr="002871E9" w:rsidRDefault="00271E50" w:rsidP="00F24A9C">
      <w:pPr>
        <w:ind w:left="720"/>
        <w:rPr>
          <w:rFonts w:ascii="Calibri" w:eastAsia="Times New Roman" w:hAnsi="Calibri" w:cs="Calibri"/>
          <w:i/>
          <w:iCs/>
          <w:color w:val="000000"/>
          <w:sz w:val="18"/>
          <w:szCs w:val="18"/>
          <w:lang w:eastAsia="en-GB"/>
        </w:rPr>
      </w:pPr>
      <w:r w:rsidRPr="002871E9">
        <w:rPr>
          <w:i/>
          <w:iCs/>
          <w:sz w:val="18"/>
          <w:szCs w:val="18"/>
        </w:rPr>
        <w:t>Table</w:t>
      </w:r>
      <w:r w:rsidR="009F35D4" w:rsidRPr="002871E9">
        <w:rPr>
          <w:i/>
          <w:iCs/>
          <w:sz w:val="18"/>
          <w:szCs w:val="18"/>
        </w:rPr>
        <w:t xml:space="preserve"> </w:t>
      </w:r>
      <w:r w:rsidR="002871E9" w:rsidRPr="002871E9">
        <w:rPr>
          <w:i/>
          <w:iCs/>
          <w:sz w:val="18"/>
          <w:szCs w:val="18"/>
        </w:rPr>
        <w:t>2</w:t>
      </w:r>
      <w:r w:rsidRPr="002871E9">
        <w:rPr>
          <w:i/>
          <w:iCs/>
          <w:sz w:val="18"/>
          <w:szCs w:val="18"/>
        </w:rPr>
        <w:t xml:space="preserve">: </w:t>
      </w:r>
      <w:r w:rsidRPr="002871E9">
        <w:rPr>
          <w:rFonts w:ascii="Calibri" w:eastAsia="Times New Roman" w:hAnsi="Calibri" w:cs="Calibri"/>
          <w:i/>
          <w:iCs/>
          <w:color w:val="000000"/>
          <w:sz w:val="18"/>
          <w:szCs w:val="18"/>
          <w:lang w:eastAsia="en-GB"/>
        </w:rPr>
        <w:t>Average time (weeks) from assessment to closure for applications assessed as homeless or threatened with homelessness</w:t>
      </w:r>
      <w:r w:rsidR="008A211B">
        <w:rPr>
          <w:rFonts w:ascii="Calibri" w:eastAsia="Times New Roman" w:hAnsi="Calibri" w:cs="Calibri"/>
          <w:i/>
          <w:iCs/>
          <w:color w:val="000000"/>
          <w:sz w:val="18"/>
          <w:szCs w:val="18"/>
          <w:lang w:eastAsia="en-GB"/>
        </w:rPr>
        <w:t>, 2018/19-2022/23</w:t>
      </w:r>
    </w:p>
    <w:tbl>
      <w:tblPr>
        <w:tblStyle w:val="TableGrid"/>
        <w:tblpPr w:leftFromText="180" w:rightFromText="180" w:vertAnchor="text" w:horzAnchor="margin" w:tblpXSpec="right" w:tblpY="180"/>
        <w:tblW w:w="0" w:type="auto"/>
        <w:tblLook w:val="04A0" w:firstRow="1" w:lastRow="0" w:firstColumn="1" w:lastColumn="0" w:noHBand="0" w:noVBand="1"/>
      </w:tblPr>
      <w:tblGrid>
        <w:gridCol w:w="1980"/>
        <w:gridCol w:w="970"/>
        <w:gridCol w:w="1221"/>
        <w:gridCol w:w="1221"/>
        <w:gridCol w:w="1221"/>
        <w:gridCol w:w="1221"/>
      </w:tblGrid>
      <w:tr w:rsidR="008149AC" w:rsidRPr="008149AC" w14:paraId="2FCD0DA3" w14:textId="77777777" w:rsidTr="00815692">
        <w:trPr>
          <w:trHeight w:val="282"/>
        </w:trPr>
        <w:tc>
          <w:tcPr>
            <w:tcW w:w="1980" w:type="dxa"/>
            <w:tcBorders>
              <w:top w:val="nil"/>
              <w:left w:val="nil"/>
              <w:bottom w:val="single" w:sz="4" w:space="0" w:color="auto"/>
              <w:right w:val="single" w:sz="4" w:space="0" w:color="auto"/>
            </w:tcBorders>
            <w:noWrap/>
            <w:hideMark/>
          </w:tcPr>
          <w:p w14:paraId="30C5BFA0" w14:textId="77777777" w:rsidR="008149AC" w:rsidRPr="008149AC" w:rsidRDefault="008149AC" w:rsidP="00815692"/>
        </w:tc>
        <w:tc>
          <w:tcPr>
            <w:tcW w:w="970" w:type="dxa"/>
            <w:tcBorders>
              <w:left w:val="single" w:sz="4" w:space="0" w:color="auto"/>
            </w:tcBorders>
            <w:shd w:val="clear" w:color="auto" w:fill="BDD6EE" w:themeFill="accent1" w:themeFillTint="66"/>
            <w:noWrap/>
            <w:hideMark/>
          </w:tcPr>
          <w:p w14:paraId="2D552894" w14:textId="77777777" w:rsidR="008149AC" w:rsidRPr="008149AC" w:rsidRDefault="008149AC" w:rsidP="00815692">
            <w:r w:rsidRPr="008149AC">
              <w:t>2018/19</w:t>
            </w:r>
          </w:p>
        </w:tc>
        <w:tc>
          <w:tcPr>
            <w:tcW w:w="1221" w:type="dxa"/>
            <w:shd w:val="clear" w:color="auto" w:fill="BDD6EE" w:themeFill="accent1" w:themeFillTint="66"/>
            <w:noWrap/>
            <w:hideMark/>
          </w:tcPr>
          <w:p w14:paraId="37028C3C" w14:textId="77777777" w:rsidR="008149AC" w:rsidRPr="008149AC" w:rsidRDefault="008149AC" w:rsidP="00815692">
            <w:r w:rsidRPr="008149AC">
              <w:t>2019/20</w:t>
            </w:r>
          </w:p>
        </w:tc>
        <w:tc>
          <w:tcPr>
            <w:tcW w:w="1221" w:type="dxa"/>
            <w:shd w:val="clear" w:color="auto" w:fill="BDD6EE" w:themeFill="accent1" w:themeFillTint="66"/>
            <w:noWrap/>
            <w:hideMark/>
          </w:tcPr>
          <w:p w14:paraId="77CAA4CC" w14:textId="77777777" w:rsidR="008149AC" w:rsidRPr="008149AC" w:rsidRDefault="008149AC" w:rsidP="00815692">
            <w:r w:rsidRPr="008149AC">
              <w:t>2020/21</w:t>
            </w:r>
          </w:p>
        </w:tc>
        <w:tc>
          <w:tcPr>
            <w:tcW w:w="1221" w:type="dxa"/>
            <w:shd w:val="clear" w:color="auto" w:fill="BDD6EE" w:themeFill="accent1" w:themeFillTint="66"/>
            <w:noWrap/>
            <w:hideMark/>
          </w:tcPr>
          <w:p w14:paraId="34211F7F" w14:textId="77777777" w:rsidR="008149AC" w:rsidRPr="008149AC" w:rsidRDefault="008149AC" w:rsidP="00815692">
            <w:r w:rsidRPr="008149AC">
              <w:t>2021/22</w:t>
            </w:r>
          </w:p>
        </w:tc>
        <w:tc>
          <w:tcPr>
            <w:tcW w:w="1221" w:type="dxa"/>
            <w:shd w:val="clear" w:color="auto" w:fill="BDD6EE" w:themeFill="accent1" w:themeFillTint="66"/>
            <w:noWrap/>
            <w:hideMark/>
          </w:tcPr>
          <w:p w14:paraId="75C20880" w14:textId="77777777" w:rsidR="008149AC" w:rsidRPr="008149AC" w:rsidRDefault="008149AC" w:rsidP="00815692">
            <w:r w:rsidRPr="008149AC">
              <w:t>2022/23</w:t>
            </w:r>
          </w:p>
        </w:tc>
      </w:tr>
      <w:tr w:rsidR="008149AC" w:rsidRPr="008149AC" w14:paraId="39855AC9" w14:textId="77777777" w:rsidTr="00815692">
        <w:trPr>
          <w:trHeight w:val="696"/>
        </w:trPr>
        <w:tc>
          <w:tcPr>
            <w:tcW w:w="1980" w:type="dxa"/>
            <w:tcBorders>
              <w:top w:val="single" w:sz="4" w:space="0" w:color="auto"/>
            </w:tcBorders>
            <w:hideMark/>
          </w:tcPr>
          <w:p w14:paraId="6890F8DC" w14:textId="77777777" w:rsidR="008149AC" w:rsidRPr="008149AC" w:rsidRDefault="008149AC" w:rsidP="00815692">
            <w:r w:rsidRPr="008149AC">
              <w:t>Case duration (weeks)</w:t>
            </w:r>
          </w:p>
        </w:tc>
        <w:tc>
          <w:tcPr>
            <w:tcW w:w="970" w:type="dxa"/>
            <w:noWrap/>
            <w:vAlign w:val="center"/>
            <w:hideMark/>
          </w:tcPr>
          <w:p w14:paraId="1CA7F72D" w14:textId="77777777" w:rsidR="008149AC" w:rsidRPr="008149AC" w:rsidRDefault="008149AC" w:rsidP="00815692">
            <w:pPr>
              <w:jc w:val="center"/>
            </w:pPr>
            <w:r w:rsidRPr="008149AC">
              <w:t>28.6</w:t>
            </w:r>
          </w:p>
        </w:tc>
        <w:tc>
          <w:tcPr>
            <w:tcW w:w="1221" w:type="dxa"/>
            <w:noWrap/>
            <w:vAlign w:val="center"/>
            <w:hideMark/>
          </w:tcPr>
          <w:p w14:paraId="72C2385C" w14:textId="77777777" w:rsidR="008149AC" w:rsidRPr="008149AC" w:rsidRDefault="008149AC" w:rsidP="00815692">
            <w:pPr>
              <w:jc w:val="center"/>
            </w:pPr>
            <w:r w:rsidRPr="008149AC">
              <w:t>27.2</w:t>
            </w:r>
          </w:p>
        </w:tc>
        <w:tc>
          <w:tcPr>
            <w:tcW w:w="1221" w:type="dxa"/>
            <w:noWrap/>
            <w:vAlign w:val="center"/>
            <w:hideMark/>
          </w:tcPr>
          <w:p w14:paraId="1FF91869" w14:textId="77777777" w:rsidR="008149AC" w:rsidRPr="008149AC" w:rsidRDefault="008149AC" w:rsidP="00815692">
            <w:pPr>
              <w:jc w:val="center"/>
            </w:pPr>
            <w:r w:rsidRPr="008149AC">
              <w:t>33.2</w:t>
            </w:r>
          </w:p>
        </w:tc>
        <w:tc>
          <w:tcPr>
            <w:tcW w:w="1221" w:type="dxa"/>
            <w:noWrap/>
            <w:vAlign w:val="center"/>
            <w:hideMark/>
          </w:tcPr>
          <w:p w14:paraId="322A38B5" w14:textId="77777777" w:rsidR="008149AC" w:rsidRPr="008149AC" w:rsidRDefault="008149AC" w:rsidP="00815692">
            <w:pPr>
              <w:jc w:val="center"/>
            </w:pPr>
            <w:r w:rsidRPr="008149AC">
              <w:t>25.4</w:t>
            </w:r>
          </w:p>
        </w:tc>
        <w:tc>
          <w:tcPr>
            <w:tcW w:w="1221" w:type="dxa"/>
            <w:noWrap/>
            <w:vAlign w:val="center"/>
            <w:hideMark/>
          </w:tcPr>
          <w:p w14:paraId="18CE32F3" w14:textId="77777777" w:rsidR="008149AC" w:rsidRPr="008149AC" w:rsidRDefault="008149AC" w:rsidP="00815692">
            <w:pPr>
              <w:jc w:val="center"/>
            </w:pPr>
            <w:r w:rsidRPr="008149AC">
              <w:t>25.4</w:t>
            </w:r>
          </w:p>
        </w:tc>
      </w:tr>
    </w:tbl>
    <w:p w14:paraId="7BAD5079" w14:textId="42F51C0E" w:rsidR="008149AC" w:rsidRDefault="008149AC" w:rsidP="00B67368">
      <w:pPr>
        <w:rPr>
          <w:u w:val="single"/>
        </w:rPr>
      </w:pPr>
    </w:p>
    <w:p w14:paraId="504226B8" w14:textId="5EE54E1F" w:rsidR="008149AC" w:rsidRDefault="008149AC" w:rsidP="00B67368">
      <w:pPr>
        <w:rPr>
          <w:u w:val="single"/>
        </w:rPr>
      </w:pPr>
    </w:p>
    <w:p w14:paraId="1DF2D33B" w14:textId="77777777" w:rsidR="008149AC" w:rsidRDefault="008149AC" w:rsidP="00B67368">
      <w:pPr>
        <w:rPr>
          <w:u w:val="single"/>
        </w:rPr>
      </w:pPr>
    </w:p>
    <w:p w14:paraId="12377C00" w14:textId="6CE87E53" w:rsidR="00F81D91" w:rsidRDefault="00F81D91" w:rsidP="00336A3D">
      <w:r w:rsidRPr="00F81D91">
        <w:t xml:space="preserve">The average case duration from open to closure has </w:t>
      </w:r>
      <w:r w:rsidR="00406DDD">
        <w:t xml:space="preserve">remained the same as </w:t>
      </w:r>
      <w:r w:rsidR="002B03AF">
        <w:t xml:space="preserve">the previous year </w:t>
      </w:r>
      <w:r w:rsidR="00406DDD">
        <w:t xml:space="preserve">at 25.4 weeks on average. </w:t>
      </w:r>
    </w:p>
    <w:p w14:paraId="3335AB1D" w14:textId="77777777" w:rsidR="00582615" w:rsidRPr="00F81D91" w:rsidRDefault="00582615" w:rsidP="00B67368"/>
    <w:p w14:paraId="1A871031" w14:textId="54B5017D" w:rsidR="00102DB2" w:rsidRPr="002C5BA8" w:rsidRDefault="00102DB2" w:rsidP="002C5BA8">
      <w:pPr>
        <w:pStyle w:val="ListParagraph"/>
        <w:numPr>
          <w:ilvl w:val="1"/>
          <w:numId w:val="15"/>
        </w:numPr>
        <w:rPr>
          <w:u w:val="single"/>
        </w:rPr>
      </w:pPr>
      <w:r w:rsidRPr="002C5BA8">
        <w:rPr>
          <w:u w:val="single"/>
        </w:rPr>
        <w:t>Repeat cases</w:t>
      </w:r>
    </w:p>
    <w:p w14:paraId="4A84E8EA" w14:textId="6866501D" w:rsidR="00B12DE7" w:rsidRPr="002871E9" w:rsidRDefault="00B12DE7" w:rsidP="00526848">
      <w:pPr>
        <w:ind w:left="720"/>
        <w:rPr>
          <w:i/>
          <w:iCs/>
          <w:sz w:val="18"/>
        </w:rPr>
      </w:pPr>
      <w:r w:rsidRPr="002871E9">
        <w:rPr>
          <w:i/>
          <w:iCs/>
          <w:sz w:val="18"/>
        </w:rPr>
        <w:t xml:space="preserve">Table </w:t>
      </w:r>
      <w:r w:rsidR="002871E9" w:rsidRPr="002871E9">
        <w:rPr>
          <w:i/>
          <w:iCs/>
          <w:sz w:val="18"/>
        </w:rPr>
        <w:t>3</w:t>
      </w:r>
      <w:r w:rsidRPr="002871E9">
        <w:rPr>
          <w:i/>
          <w:iCs/>
          <w:sz w:val="18"/>
        </w:rPr>
        <w:t>: Repeat Homeless Figures</w:t>
      </w:r>
      <w:r w:rsidR="008A211B">
        <w:rPr>
          <w:i/>
          <w:iCs/>
          <w:sz w:val="18"/>
        </w:rPr>
        <w:t>, 2018/19-2022/23</w:t>
      </w:r>
    </w:p>
    <w:tbl>
      <w:tblPr>
        <w:tblStyle w:val="TableGrid"/>
        <w:tblW w:w="8326" w:type="dxa"/>
        <w:tblInd w:w="699" w:type="dxa"/>
        <w:tblLook w:val="04A0" w:firstRow="1" w:lastRow="0" w:firstColumn="1" w:lastColumn="0" w:noHBand="0" w:noVBand="1"/>
      </w:tblPr>
      <w:tblGrid>
        <w:gridCol w:w="1192"/>
        <w:gridCol w:w="2964"/>
        <w:gridCol w:w="1727"/>
        <w:gridCol w:w="2443"/>
      </w:tblGrid>
      <w:tr w:rsidR="00B12DE7" w14:paraId="7558AAC8" w14:textId="77777777" w:rsidTr="00AA101D">
        <w:trPr>
          <w:trHeight w:val="726"/>
        </w:trPr>
        <w:tc>
          <w:tcPr>
            <w:tcW w:w="1192" w:type="dxa"/>
          </w:tcPr>
          <w:p w14:paraId="67E82CED" w14:textId="77777777" w:rsidR="00B12DE7" w:rsidRPr="00C806EB" w:rsidRDefault="00B12DE7" w:rsidP="002C4715">
            <w:pPr>
              <w:jc w:val="center"/>
              <w:rPr>
                <w:b/>
              </w:rPr>
            </w:pPr>
            <w:r w:rsidRPr="00C806EB">
              <w:rPr>
                <w:b/>
              </w:rPr>
              <w:t>Year</w:t>
            </w:r>
          </w:p>
        </w:tc>
        <w:tc>
          <w:tcPr>
            <w:tcW w:w="2964" w:type="dxa"/>
          </w:tcPr>
          <w:p w14:paraId="51106AB8" w14:textId="79864333" w:rsidR="00B12DE7" w:rsidRDefault="00B12DE7" w:rsidP="002C4715">
            <w:pPr>
              <w:jc w:val="center"/>
            </w:pPr>
            <w:r>
              <w:t xml:space="preserve">Number of households re-assessed as homeless within the same year </w:t>
            </w:r>
            <w:r w:rsidR="00844201">
              <w:t>i.e.,</w:t>
            </w:r>
            <w:r>
              <w:t xml:space="preserve"> repeat cases</w:t>
            </w:r>
          </w:p>
        </w:tc>
        <w:tc>
          <w:tcPr>
            <w:tcW w:w="1727" w:type="dxa"/>
            <w:shd w:val="clear" w:color="auto" w:fill="BDD6EE" w:themeFill="accent1" w:themeFillTint="66"/>
          </w:tcPr>
          <w:p w14:paraId="7DDB00E3" w14:textId="77777777" w:rsidR="00B12DE7" w:rsidRDefault="00B12DE7" w:rsidP="002C4715">
            <w:pPr>
              <w:jc w:val="center"/>
            </w:pPr>
            <w:r>
              <w:t>Percentage of cases classed as ‘repeat’</w:t>
            </w:r>
          </w:p>
        </w:tc>
        <w:tc>
          <w:tcPr>
            <w:tcW w:w="2443" w:type="dxa"/>
          </w:tcPr>
          <w:p w14:paraId="55BE01D2" w14:textId="77777777" w:rsidR="00B12DE7" w:rsidRDefault="00B12DE7" w:rsidP="002C4715">
            <w:pPr>
              <w:jc w:val="center"/>
            </w:pPr>
            <w:r>
              <w:t>Percentage of cases classed as repeat in Scotland as a whole</w:t>
            </w:r>
          </w:p>
        </w:tc>
      </w:tr>
      <w:tr w:rsidR="00586DEB" w14:paraId="235529FC" w14:textId="77777777" w:rsidTr="00AA101D">
        <w:trPr>
          <w:trHeight w:val="253"/>
        </w:trPr>
        <w:tc>
          <w:tcPr>
            <w:tcW w:w="1192" w:type="dxa"/>
          </w:tcPr>
          <w:p w14:paraId="659C9E29" w14:textId="77777777" w:rsidR="00586DEB" w:rsidRPr="00586DEB" w:rsidRDefault="00586DEB" w:rsidP="002C4715">
            <w:pPr>
              <w:jc w:val="center"/>
            </w:pPr>
            <w:r>
              <w:t>2018/19</w:t>
            </w:r>
          </w:p>
        </w:tc>
        <w:tc>
          <w:tcPr>
            <w:tcW w:w="2964" w:type="dxa"/>
          </w:tcPr>
          <w:p w14:paraId="446C6D20" w14:textId="77777777" w:rsidR="00586DEB" w:rsidRDefault="00586DEB" w:rsidP="002C4715">
            <w:pPr>
              <w:jc w:val="center"/>
            </w:pPr>
            <w:r>
              <w:t>15</w:t>
            </w:r>
          </w:p>
        </w:tc>
        <w:tc>
          <w:tcPr>
            <w:tcW w:w="1727" w:type="dxa"/>
            <w:shd w:val="clear" w:color="auto" w:fill="BDD6EE" w:themeFill="accent1" w:themeFillTint="66"/>
          </w:tcPr>
          <w:p w14:paraId="0EA3437D" w14:textId="77777777" w:rsidR="00586DEB" w:rsidRDefault="00586DEB" w:rsidP="002C4715">
            <w:pPr>
              <w:jc w:val="center"/>
            </w:pPr>
            <w:r>
              <w:t>10%</w:t>
            </w:r>
          </w:p>
        </w:tc>
        <w:tc>
          <w:tcPr>
            <w:tcW w:w="2443" w:type="dxa"/>
          </w:tcPr>
          <w:p w14:paraId="2860C43D" w14:textId="77777777" w:rsidR="00586DEB" w:rsidRDefault="00586DEB" w:rsidP="002C4715">
            <w:pPr>
              <w:jc w:val="center"/>
            </w:pPr>
            <w:r>
              <w:t>5%</w:t>
            </w:r>
          </w:p>
        </w:tc>
      </w:tr>
      <w:tr w:rsidR="00B12DE7" w14:paraId="5D354804" w14:textId="77777777" w:rsidTr="00AA101D">
        <w:trPr>
          <w:trHeight w:val="183"/>
        </w:trPr>
        <w:tc>
          <w:tcPr>
            <w:tcW w:w="1192" w:type="dxa"/>
          </w:tcPr>
          <w:p w14:paraId="15386983" w14:textId="77777777" w:rsidR="00B12DE7" w:rsidRDefault="00B12DE7" w:rsidP="002C4715">
            <w:pPr>
              <w:jc w:val="center"/>
            </w:pPr>
            <w:r>
              <w:t>2019/20</w:t>
            </w:r>
          </w:p>
        </w:tc>
        <w:tc>
          <w:tcPr>
            <w:tcW w:w="2964" w:type="dxa"/>
          </w:tcPr>
          <w:p w14:paraId="30348C93" w14:textId="77777777" w:rsidR="00B12DE7" w:rsidRDefault="00B12DE7" w:rsidP="002C4715">
            <w:pPr>
              <w:jc w:val="center"/>
            </w:pPr>
            <w:r>
              <w:t>25</w:t>
            </w:r>
          </w:p>
        </w:tc>
        <w:tc>
          <w:tcPr>
            <w:tcW w:w="1727" w:type="dxa"/>
            <w:shd w:val="clear" w:color="auto" w:fill="BDD6EE" w:themeFill="accent1" w:themeFillTint="66"/>
          </w:tcPr>
          <w:p w14:paraId="6B01AFE7" w14:textId="77777777" w:rsidR="00B12DE7" w:rsidRDefault="00B12DE7" w:rsidP="002C4715">
            <w:pPr>
              <w:jc w:val="center"/>
            </w:pPr>
            <w:r>
              <w:t>13%</w:t>
            </w:r>
          </w:p>
        </w:tc>
        <w:tc>
          <w:tcPr>
            <w:tcW w:w="2443" w:type="dxa"/>
          </w:tcPr>
          <w:p w14:paraId="3AC61C37" w14:textId="77777777" w:rsidR="00B12DE7" w:rsidRDefault="00B12DE7" w:rsidP="002C4715">
            <w:pPr>
              <w:jc w:val="center"/>
            </w:pPr>
            <w:r>
              <w:t>5%</w:t>
            </w:r>
          </w:p>
        </w:tc>
      </w:tr>
      <w:tr w:rsidR="00B12DE7" w14:paraId="0694992F" w14:textId="77777777" w:rsidTr="00AA101D">
        <w:trPr>
          <w:trHeight w:val="183"/>
        </w:trPr>
        <w:tc>
          <w:tcPr>
            <w:tcW w:w="1192" w:type="dxa"/>
          </w:tcPr>
          <w:p w14:paraId="601899B8" w14:textId="77777777" w:rsidR="00B12DE7" w:rsidRDefault="00B12DE7" w:rsidP="002C4715">
            <w:pPr>
              <w:jc w:val="center"/>
            </w:pPr>
            <w:r>
              <w:t>2020/21</w:t>
            </w:r>
          </w:p>
        </w:tc>
        <w:tc>
          <w:tcPr>
            <w:tcW w:w="2964" w:type="dxa"/>
          </w:tcPr>
          <w:p w14:paraId="2ACE00A3" w14:textId="77777777" w:rsidR="00B12DE7" w:rsidRDefault="00B12DE7" w:rsidP="002C4715">
            <w:pPr>
              <w:jc w:val="center"/>
            </w:pPr>
            <w:r>
              <w:t>30</w:t>
            </w:r>
          </w:p>
        </w:tc>
        <w:tc>
          <w:tcPr>
            <w:tcW w:w="1727" w:type="dxa"/>
            <w:shd w:val="clear" w:color="auto" w:fill="BDD6EE" w:themeFill="accent1" w:themeFillTint="66"/>
          </w:tcPr>
          <w:p w14:paraId="3BFB2A0F" w14:textId="77777777" w:rsidR="00B12DE7" w:rsidRDefault="00B12DE7" w:rsidP="002C4715">
            <w:pPr>
              <w:jc w:val="center"/>
            </w:pPr>
            <w:r>
              <w:t>13%</w:t>
            </w:r>
          </w:p>
        </w:tc>
        <w:tc>
          <w:tcPr>
            <w:tcW w:w="2443" w:type="dxa"/>
          </w:tcPr>
          <w:p w14:paraId="2D8947CF" w14:textId="77777777" w:rsidR="00B12DE7" w:rsidRDefault="00B12DE7" w:rsidP="002C4715">
            <w:pPr>
              <w:jc w:val="center"/>
            </w:pPr>
            <w:r>
              <w:t>5%</w:t>
            </w:r>
          </w:p>
        </w:tc>
      </w:tr>
      <w:tr w:rsidR="00B12DE7" w14:paraId="1CC7EA51" w14:textId="77777777" w:rsidTr="00AA101D">
        <w:trPr>
          <w:trHeight w:val="183"/>
        </w:trPr>
        <w:tc>
          <w:tcPr>
            <w:tcW w:w="1192" w:type="dxa"/>
          </w:tcPr>
          <w:p w14:paraId="0DC55068" w14:textId="77777777" w:rsidR="00B12DE7" w:rsidRDefault="00B12DE7" w:rsidP="002C4715">
            <w:pPr>
              <w:jc w:val="center"/>
            </w:pPr>
            <w:r>
              <w:t>2021/22</w:t>
            </w:r>
          </w:p>
        </w:tc>
        <w:tc>
          <w:tcPr>
            <w:tcW w:w="2964" w:type="dxa"/>
          </w:tcPr>
          <w:p w14:paraId="65AA5F53" w14:textId="77777777" w:rsidR="00B12DE7" w:rsidRDefault="00B12DE7" w:rsidP="002C4715">
            <w:pPr>
              <w:jc w:val="center"/>
            </w:pPr>
            <w:r>
              <w:t>26</w:t>
            </w:r>
          </w:p>
        </w:tc>
        <w:tc>
          <w:tcPr>
            <w:tcW w:w="1727" w:type="dxa"/>
            <w:shd w:val="clear" w:color="auto" w:fill="BDD6EE" w:themeFill="accent1" w:themeFillTint="66"/>
          </w:tcPr>
          <w:p w14:paraId="5417E02C" w14:textId="77777777" w:rsidR="00B12DE7" w:rsidRDefault="00B12DE7" w:rsidP="002C4715">
            <w:pPr>
              <w:jc w:val="center"/>
            </w:pPr>
            <w:r>
              <w:t>10%</w:t>
            </w:r>
          </w:p>
        </w:tc>
        <w:tc>
          <w:tcPr>
            <w:tcW w:w="2443" w:type="dxa"/>
          </w:tcPr>
          <w:p w14:paraId="32FFDCD7" w14:textId="77777777" w:rsidR="00B12DE7" w:rsidRDefault="00B12DE7" w:rsidP="002C4715">
            <w:pPr>
              <w:jc w:val="center"/>
            </w:pPr>
            <w:r>
              <w:t>5%</w:t>
            </w:r>
          </w:p>
        </w:tc>
      </w:tr>
      <w:tr w:rsidR="00B12DE7" w14:paraId="54D90C5F" w14:textId="77777777" w:rsidTr="00AA101D">
        <w:trPr>
          <w:trHeight w:val="183"/>
        </w:trPr>
        <w:tc>
          <w:tcPr>
            <w:tcW w:w="1192" w:type="dxa"/>
          </w:tcPr>
          <w:p w14:paraId="3C74E078" w14:textId="77777777" w:rsidR="00B12DE7" w:rsidRDefault="00B12DE7" w:rsidP="00B12DE7">
            <w:pPr>
              <w:jc w:val="center"/>
            </w:pPr>
            <w:r>
              <w:t>2022/23</w:t>
            </w:r>
          </w:p>
        </w:tc>
        <w:tc>
          <w:tcPr>
            <w:tcW w:w="2964" w:type="dxa"/>
          </w:tcPr>
          <w:p w14:paraId="6AD43A87" w14:textId="479FC495" w:rsidR="00B12DE7" w:rsidRPr="004B6276" w:rsidRDefault="004B6276" w:rsidP="002C4715">
            <w:pPr>
              <w:jc w:val="center"/>
            </w:pPr>
            <w:r w:rsidRPr="004B6276">
              <w:t>19</w:t>
            </w:r>
          </w:p>
        </w:tc>
        <w:tc>
          <w:tcPr>
            <w:tcW w:w="1727" w:type="dxa"/>
            <w:shd w:val="clear" w:color="auto" w:fill="BDD6EE" w:themeFill="accent1" w:themeFillTint="66"/>
          </w:tcPr>
          <w:p w14:paraId="6AD62C33" w14:textId="3D000D31" w:rsidR="00B12DE7" w:rsidRPr="004B6276" w:rsidRDefault="004B6276" w:rsidP="002C4715">
            <w:pPr>
              <w:jc w:val="center"/>
            </w:pPr>
            <w:r w:rsidRPr="004B6276">
              <w:t>6.5%</w:t>
            </w:r>
          </w:p>
        </w:tc>
        <w:tc>
          <w:tcPr>
            <w:tcW w:w="2443" w:type="dxa"/>
          </w:tcPr>
          <w:p w14:paraId="356A94BE" w14:textId="77777777" w:rsidR="00B12DE7" w:rsidRPr="00614A06" w:rsidRDefault="00B12DE7" w:rsidP="002C4715">
            <w:pPr>
              <w:jc w:val="center"/>
              <w:rPr>
                <w:color w:val="FF0000"/>
              </w:rPr>
            </w:pPr>
            <w:r w:rsidRPr="004B6276">
              <w:t>-</w:t>
            </w:r>
          </w:p>
        </w:tc>
      </w:tr>
    </w:tbl>
    <w:p w14:paraId="25BC8011" w14:textId="77777777" w:rsidR="00B12DE7" w:rsidRPr="00763B8A" w:rsidRDefault="00B12DE7" w:rsidP="00336A3D">
      <w:pPr>
        <w:ind w:left="390"/>
        <w:jc w:val="both"/>
        <w:rPr>
          <w:u w:val="single"/>
        </w:rPr>
      </w:pPr>
    </w:p>
    <w:p w14:paraId="1BC5380C" w14:textId="55668C71" w:rsidR="004B6276" w:rsidRDefault="00A61B0A" w:rsidP="00336A3D">
      <w:pPr>
        <w:jc w:val="both"/>
      </w:pPr>
      <w:r>
        <w:t>C</w:t>
      </w:r>
      <w:r w:rsidR="002048F1" w:rsidRPr="002048F1">
        <w:t>onsistently the local authority sees a higher proportion of repeat cases t</w:t>
      </w:r>
      <w:r>
        <w:t>han that of Scotland as a whole</w:t>
      </w:r>
      <w:r w:rsidR="00C90D23">
        <w:t xml:space="preserve">. This is likely </w:t>
      </w:r>
      <w:r>
        <w:t>in account of the prevalence of complex and multiple support needs</w:t>
      </w:r>
      <w:r w:rsidR="00011E1B">
        <w:t xml:space="preserve"> within the </w:t>
      </w:r>
      <w:r w:rsidR="00C90D23">
        <w:t xml:space="preserve">local </w:t>
      </w:r>
      <w:r w:rsidR="00011E1B">
        <w:t>homeless population</w:t>
      </w:r>
      <w:r w:rsidR="00961343">
        <w:t xml:space="preserve"> and the number of SIMD1 areas located in the authority. </w:t>
      </w:r>
    </w:p>
    <w:p w14:paraId="488CE69E" w14:textId="472BFB1A" w:rsidR="004B6276" w:rsidRDefault="00731184" w:rsidP="00336A3D">
      <w:pPr>
        <w:jc w:val="both"/>
      </w:pPr>
      <w:r>
        <w:lastRenderedPageBreak/>
        <w:t>With the commencement of the in-house support team</w:t>
      </w:r>
      <w:r w:rsidR="00CF6D5A">
        <w:t xml:space="preserve"> in November 2022,</w:t>
      </w:r>
      <w:r w:rsidR="004B6276">
        <w:t xml:space="preserve"> the service</w:t>
      </w:r>
      <w:r>
        <w:t xml:space="preserve"> </w:t>
      </w:r>
      <w:r w:rsidR="00D050BB">
        <w:t xml:space="preserve">predicted that </w:t>
      </w:r>
      <w:r>
        <w:t xml:space="preserve">the number of households re-entering the homeless service </w:t>
      </w:r>
      <w:r w:rsidR="00D050BB">
        <w:t>would</w:t>
      </w:r>
      <w:r>
        <w:t xml:space="preserve"> </w:t>
      </w:r>
      <w:r w:rsidR="00D050BB">
        <w:t>see a decline</w:t>
      </w:r>
      <w:r w:rsidR="004B6276">
        <w:t xml:space="preserve">. </w:t>
      </w:r>
    </w:p>
    <w:p w14:paraId="4B89C0B3" w14:textId="507B2090" w:rsidR="000A247E" w:rsidRDefault="004B6276" w:rsidP="00336A3D">
      <w:pPr>
        <w:jc w:val="both"/>
      </w:pPr>
      <w:r>
        <w:t xml:space="preserve">As of </w:t>
      </w:r>
      <w:r w:rsidR="00E332FA">
        <w:t>year-end</w:t>
      </w:r>
      <w:r>
        <w:t xml:space="preserve"> 2022/23 the</w:t>
      </w:r>
      <w:r w:rsidR="00F05AF6">
        <w:t xml:space="preserve"> data</w:t>
      </w:r>
      <w:r>
        <w:t xml:space="preserve"> support</w:t>
      </w:r>
      <w:r w:rsidR="00F05AF6">
        <w:t>s</w:t>
      </w:r>
      <w:r>
        <w:t xml:space="preserve"> this prediction, with a 27% reduction in numbers of repeat cases to the service, putting us closer in line with national figures</w:t>
      </w:r>
      <w:r w:rsidR="00CF6D5A">
        <w:t xml:space="preserve">. </w:t>
      </w:r>
      <w:r w:rsidR="00916E73">
        <w:t xml:space="preserve"> </w:t>
      </w:r>
    </w:p>
    <w:p w14:paraId="7EB27987" w14:textId="77777777" w:rsidR="000A247E" w:rsidRDefault="000A247E" w:rsidP="00F97168"/>
    <w:p w14:paraId="1FED1C77" w14:textId="6AA57A54" w:rsidR="0010044B" w:rsidRDefault="0010044B">
      <w:pPr>
        <w:pStyle w:val="ListParagraph"/>
        <w:numPr>
          <w:ilvl w:val="1"/>
          <w:numId w:val="17"/>
        </w:numPr>
        <w:rPr>
          <w:u w:val="single"/>
        </w:rPr>
      </w:pPr>
      <w:r w:rsidRPr="0022174C">
        <w:rPr>
          <w:u w:val="single"/>
        </w:rPr>
        <w:t>Outcomes</w:t>
      </w:r>
    </w:p>
    <w:p w14:paraId="6952C8F2" w14:textId="0D53FF1F" w:rsidR="00637096" w:rsidRDefault="00637096" w:rsidP="00637096">
      <w:pPr>
        <w:pStyle w:val="ListParagraph"/>
        <w:ind w:left="390"/>
        <w:rPr>
          <w:u w:val="single"/>
        </w:rPr>
      </w:pPr>
    </w:p>
    <w:p w14:paraId="14EB2F43" w14:textId="61C3BCBD" w:rsidR="003C0BD4" w:rsidRPr="002871E9" w:rsidRDefault="0052050C" w:rsidP="002871E9">
      <w:pPr>
        <w:pStyle w:val="ListParagraph"/>
        <w:ind w:left="390"/>
        <w:rPr>
          <w:sz w:val="18"/>
          <w:szCs w:val="18"/>
        </w:rPr>
      </w:pPr>
      <w:r w:rsidRPr="0052050C">
        <w:rPr>
          <w:sz w:val="18"/>
          <w:szCs w:val="18"/>
        </w:rPr>
        <w:t>Table 3:</w:t>
      </w:r>
      <w:r w:rsidR="00512871">
        <w:rPr>
          <w:sz w:val="18"/>
          <w:szCs w:val="18"/>
        </w:rPr>
        <w:t xml:space="preserve"> Outcomes of unintentional homeless cases were contact was maintained,</w:t>
      </w:r>
      <w:r w:rsidRPr="0052050C">
        <w:rPr>
          <w:sz w:val="18"/>
          <w:szCs w:val="18"/>
        </w:rPr>
        <w:t xml:space="preserve"> 2018/2019-2022/2023</w:t>
      </w:r>
    </w:p>
    <w:p w14:paraId="40CD2CEE" w14:textId="0D2DB9D6" w:rsidR="00CE34B5" w:rsidRDefault="00757269" w:rsidP="00637096">
      <w:pPr>
        <w:pStyle w:val="ListParagraph"/>
        <w:ind w:left="390"/>
        <w:rPr>
          <w:u w:val="single"/>
        </w:rPr>
      </w:pPr>
      <w:r>
        <w:t xml:space="preserve">                     </w:t>
      </w:r>
    </w:p>
    <w:p w14:paraId="5AB6603E" w14:textId="3F406131" w:rsidR="00CE34B5" w:rsidRDefault="0021155E" w:rsidP="00637096">
      <w:pPr>
        <w:pStyle w:val="ListParagraph"/>
        <w:ind w:left="390"/>
      </w:pPr>
      <w:r>
        <w:t xml:space="preserve">                </w:t>
      </w:r>
      <w:r>
        <w:rPr>
          <w:noProof/>
        </w:rPr>
        <w:drawing>
          <wp:inline distT="0" distB="0" distL="0" distR="0" wp14:anchorId="25547A86" wp14:editId="263ACF67">
            <wp:extent cx="4959350" cy="2501900"/>
            <wp:effectExtent l="0" t="0" r="12700" b="12700"/>
            <wp:docPr id="12" name="Chart 12">
              <a:extLst xmlns:a="http://schemas.openxmlformats.org/drawingml/2006/main">
                <a:ext uri="{FF2B5EF4-FFF2-40B4-BE49-F238E27FC236}">
                  <a16:creationId xmlns:a16="http://schemas.microsoft.com/office/drawing/2014/main" id="{71FAD770-F932-1391-26F4-0A088B930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DD6041" w14:textId="77777777" w:rsidR="0021155E" w:rsidRDefault="0021155E" w:rsidP="00637096">
      <w:pPr>
        <w:pStyle w:val="ListParagraph"/>
        <w:ind w:left="390"/>
        <w:rPr>
          <w:u w:val="single"/>
        </w:rPr>
      </w:pPr>
    </w:p>
    <w:p w14:paraId="7BDC6C74" w14:textId="590982C4" w:rsidR="00757269" w:rsidRPr="00336A3D" w:rsidRDefault="00512871">
      <w:pPr>
        <w:pStyle w:val="ListParagraph"/>
        <w:numPr>
          <w:ilvl w:val="0"/>
          <w:numId w:val="24"/>
        </w:numPr>
        <w:rPr>
          <w:bCs/>
        </w:rPr>
      </w:pPr>
      <w:r w:rsidRPr="00336A3D">
        <w:rPr>
          <w:bCs/>
        </w:rPr>
        <w:t>74% of unintentional homeless cases were contact was maintained resulted in a settled tenancy (68% in RSLs, 6% in PRS)</w:t>
      </w:r>
      <w:r w:rsidR="005E67FC" w:rsidRPr="00336A3D">
        <w:rPr>
          <w:bCs/>
        </w:rPr>
        <w:t xml:space="preserve"> in 2022/23, down from 82% the previous year. </w:t>
      </w:r>
    </w:p>
    <w:p w14:paraId="2D0D40D2" w14:textId="2FB18757" w:rsidR="00DE2F8A" w:rsidRPr="005D0D64" w:rsidRDefault="0052050C">
      <w:pPr>
        <w:pStyle w:val="ListParagraph"/>
        <w:numPr>
          <w:ilvl w:val="0"/>
          <w:numId w:val="19"/>
        </w:numPr>
        <w:rPr>
          <w:b/>
        </w:rPr>
      </w:pPr>
      <w:r>
        <w:rPr>
          <w:bCs/>
        </w:rPr>
        <w:t xml:space="preserve">14 of </w:t>
      </w:r>
      <w:r w:rsidR="002871E9">
        <w:rPr>
          <w:bCs/>
        </w:rPr>
        <w:t>h</w:t>
      </w:r>
      <w:r>
        <w:rPr>
          <w:bCs/>
        </w:rPr>
        <w:t xml:space="preserve">omeless applications were closed </w:t>
      </w:r>
      <w:r w:rsidR="00512871">
        <w:rPr>
          <w:bCs/>
        </w:rPr>
        <w:t>where</w:t>
      </w:r>
      <w:r>
        <w:rPr>
          <w:bCs/>
        </w:rPr>
        <w:t xml:space="preserve"> the household was known to be held in custody</w:t>
      </w:r>
      <w:r w:rsidR="00606B5F">
        <w:rPr>
          <w:bCs/>
        </w:rPr>
        <w:t xml:space="preserve"> – we are revising our protocols around prison liberations and cases closed</w:t>
      </w:r>
      <w:r w:rsidR="004E3A76">
        <w:rPr>
          <w:bCs/>
        </w:rPr>
        <w:t xml:space="preserve"> resulting from</w:t>
      </w:r>
      <w:r w:rsidR="00606B5F">
        <w:rPr>
          <w:bCs/>
        </w:rPr>
        <w:t xml:space="preserve"> a custodial sentence/remand. </w:t>
      </w:r>
    </w:p>
    <w:p w14:paraId="15AF6FEE" w14:textId="77777777" w:rsidR="00B36129" w:rsidRDefault="00B36129" w:rsidP="00B36129">
      <w:pPr>
        <w:rPr>
          <w:bCs/>
        </w:rPr>
      </w:pPr>
    </w:p>
    <w:p w14:paraId="5ED70A41" w14:textId="00957917" w:rsidR="00113B24" w:rsidRPr="00B36129" w:rsidRDefault="005D0D64" w:rsidP="00B36129">
      <w:pPr>
        <w:rPr>
          <w:bCs/>
        </w:rPr>
      </w:pPr>
      <w:r w:rsidRPr="00B36129">
        <w:rPr>
          <w:bCs/>
        </w:rPr>
        <w:t>Contact was lost prior to duty discharge in 11% of cases</w:t>
      </w:r>
      <w:r w:rsidR="00AD22C2">
        <w:rPr>
          <w:bCs/>
        </w:rPr>
        <w:t xml:space="preserve"> down from 13% the previous year</w:t>
      </w:r>
      <w:r w:rsidR="00DA2949">
        <w:rPr>
          <w:bCs/>
        </w:rPr>
        <w:t xml:space="preserve">. </w:t>
      </w:r>
      <w:r w:rsidR="003F5C4C">
        <w:rPr>
          <w:bCs/>
        </w:rPr>
        <w:t>This</w:t>
      </w:r>
      <w:r w:rsidR="00DA2949">
        <w:rPr>
          <w:bCs/>
        </w:rPr>
        <w:t xml:space="preserve"> is an area where Inverclyd</w:t>
      </w:r>
      <w:r w:rsidR="008D508B">
        <w:rPr>
          <w:bCs/>
        </w:rPr>
        <w:t>e has saw higher numbers than national averages in the past</w:t>
      </w:r>
      <w:r w:rsidR="003A48C1">
        <w:rPr>
          <w:bCs/>
        </w:rPr>
        <w:t xml:space="preserve">, particularly </w:t>
      </w:r>
      <w:r w:rsidR="008D508B">
        <w:rPr>
          <w:bCs/>
        </w:rPr>
        <w:t>due to an inconsistency in recording of outcomes. The service has spent time tightening up our recording systems to address these issues. In addition,</w:t>
      </w:r>
      <w:r w:rsidR="003A48C1">
        <w:rPr>
          <w:bCs/>
        </w:rPr>
        <w:t xml:space="preserve"> </w:t>
      </w:r>
      <w:r w:rsidR="008D508B">
        <w:rPr>
          <w:bCs/>
        </w:rPr>
        <w:t>t</w:t>
      </w:r>
      <w:r w:rsidR="003A48C1">
        <w:rPr>
          <w:bCs/>
        </w:rPr>
        <w:t>he outreach capabilities of the support team</w:t>
      </w:r>
      <w:r w:rsidR="00250E03">
        <w:rPr>
          <w:bCs/>
        </w:rPr>
        <w:t xml:space="preserve"> </w:t>
      </w:r>
      <w:r w:rsidR="003A48C1">
        <w:rPr>
          <w:bCs/>
        </w:rPr>
        <w:t>may have impact on this area</w:t>
      </w:r>
      <w:r w:rsidR="00100034">
        <w:rPr>
          <w:bCs/>
        </w:rPr>
        <w:t xml:space="preserve">, allowing for a complete and successful discharge of homeless into a secure and settled tenancy as opposed to a fall away from the service only to return. </w:t>
      </w:r>
    </w:p>
    <w:p w14:paraId="3E9C70A7" w14:textId="4DF8008F" w:rsidR="009B518B" w:rsidRDefault="009B518B" w:rsidP="00113B24">
      <w:pPr>
        <w:rPr>
          <w:bCs/>
        </w:rPr>
      </w:pPr>
    </w:p>
    <w:p w14:paraId="3E3A39C7" w14:textId="5AC75A3D" w:rsidR="00113B24" w:rsidRDefault="00113B24" w:rsidP="00113B24">
      <w:pPr>
        <w:rPr>
          <w:bCs/>
        </w:rPr>
      </w:pPr>
    </w:p>
    <w:p w14:paraId="044B02BA" w14:textId="2D71B2AF" w:rsidR="00113B24" w:rsidRDefault="00113B24" w:rsidP="00113B24">
      <w:pPr>
        <w:rPr>
          <w:bCs/>
        </w:rPr>
      </w:pPr>
    </w:p>
    <w:p w14:paraId="7DE0B338" w14:textId="77777777" w:rsidR="008A1221" w:rsidRDefault="008A1221" w:rsidP="00113B24">
      <w:pPr>
        <w:rPr>
          <w:bCs/>
        </w:rPr>
      </w:pPr>
    </w:p>
    <w:p w14:paraId="3D752617" w14:textId="77777777" w:rsidR="00113B24" w:rsidRPr="00113B24" w:rsidRDefault="00113B24" w:rsidP="00113B24">
      <w:pPr>
        <w:rPr>
          <w:bCs/>
        </w:rPr>
      </w:pPr>
    </w:p>
    <w:p w14:paraId="00605C82" w14:textId="77777777" w:rsidR="00771D5E" w:rsidRPr="00771D5E" w:rsidRDefault="00771D5E" w:rsidP="00771D5E">
      <w:pPr>
        <w:pStyle w:val="ListParagraph"/>
        <w:ind w:left="1080"/>
        <w:rPr>
          <w:b/>
        </w:rPr>
      </w:pPr>
    </w:p>
    <w:p w14:paraId="69C73B20" w14:textId="607384B4" w:rsidR="00102DB2" w:rsidRDefault="00B03436">
      <w:pPr>
        <w:pStyle w:val="ListParagraph"/>
        <w:numPr>
          <w:ilvl w:val="0"/>
          <w:numId w:val="10"/>
        </w:numPr>
        <w:rPr>
          <w:b/>
        </w:rPr>
      </w:pPr>
      <w:r w:rsidRPr="00B61CC4">
        <w:rPr>
          <w:b/>
        </w:rPr>
        <w:lastRenderedPageBreak/>
        <w:t>RRTP Objectives</w:t>
      </w:r>
      <w:r w:rsidR="008D4221" w:rsidRPr="00B61CC4">
        <w:rPr>
          <w:b/>
        </w:rPr>
        <w:t xml:space="preserve"> – Activities and Progress</w:t>
      </w:r>
    </w:p>
    <w:p w14:paraId="4AB6D83D" w14:textId="77777777" w:rsidR="009628F9" w:rsidRPr="00B61CC4" w:rsidRDefault="009628F9" w:rsidP="009628F9">
      <w:pPr>
        <w:pStyle w:val="ListParagraph"/>
        <w:rPr>
          <w:b/>
        </w:rPr>
      </w:pPr>
    </w:p>
    <w:p w14:paraId="6DAFA9A1" w14:textId="070B882B" w:rsidR="009628F9" w:rsidRPr="00F27801" w:rsidRDefault="00F27801" w:rsidP="009628F9">
      <w:pPr>
        <w:ind w:left="360"/>
      </w:pPr>
      <w:r>
        <w:t>Four high level objectives were realised in the forming of the RRTP in</w:t>
      </w:r>
      <w:r w:rsidR="00B8274E">
        <w:t xml:space="preserve"> 2019</w:t>
      </w:r>
      <w:r>
        <w:t xml:space="preserve">. </w:t>
      </w:r>
      <w:r w:rsidR="00906A64">
        <w:t>Outlined are some of the activities and progr</w:t>
      </w:r>
      <w:r w:rsidR="00AA210C">
        <w:t>esses towards these objectives made between April 1</w:t>
      </w:r>
      <w:r w:rsidR="00AA210C" w:rsidRPr="00AA210C">
        <w:rPr>
          <w:vertAlign w:val="superscript"/>
        </w:rPr>
        <w:t>st</w:t>
      </w:r>
      <w:r w:rsidR="00AA210C">
        <w:t xml:space="preserve"> 2022 and March 31</w:t>
      </w:r>
      <w:r w:rsidR="00AA210C" w:rsidRPr="00AA210C">
        <w:rPr>
          <w:vertAlign w:val="superscript"/>
        </w:rPr>
        <w:t>st</w:t>
      </w:r>
      <w:r w:rsidR="00AA210C">
        <w:t xml:space="preserve"> 2023. </w:t>
      </w:r>
    </w:p>
    <w:tbl>
      <w:tblPr>
        <w:tblStyle w:val="TableGrid"/>
        <w:tblW w:w="0" w:type="auto"/>
        <w:tblInd w:w="360" w:type="dxa"/>
        <w:tblLook w:val="04A0" w:firstRow="1" w:lastRow="0" w:firstColumn="1" w:lastColumn="0" w:noHBand="0" w:noVBand="1"/>
      </w:tblPr>
      <w:tblGrid>
        <w:gridCol w:w="8656"/>
      </w:tblGrid>
      <w:tr w:rsidR="00B03436" w14:paraId="5205BA70" w14:textId="77777777" w:rsidTr="005A16DB">
        <w:tc>
          <w:tcPr>
            <w:tcW w:w="9016" w:type="dxa"/>
            <w:shd w:val="clear" w:color="auto" w:fill="BDD6EE" w:themeFill="accent1" w:themeFillTint="66"/>
          </w:tcPr>
          <w:p w14:paraId="3988D951" w14:textId="77777777" w:rsidR="00B03436" w:rsidRDefault="00B03436" w:rsidP="00FB6C6E">
            <w:r>
              <w:t xml:space="preserve">Objective 1:  </w:t>
            </w:r>
            <w:r w:rsidRPr="00B03436">
              <w:t>Reduce the need for temporary accommodation by preventing homelessness</w:t>
            </w:r>
          </w:p>
        </w:tc>
      </w:tr>
      <w:tr w:rsidR="00B03436" w14:paraId="72C91FC4" w14:textId="77777777" w:rsidTr="00B03436">
        <w:tc>
          <w:tcPr>
            <w:tcW w:w="9016" w:type="dxa"/>
          </w:tcPr>
          <w:p w14:paraId="78E583E1" w14:textId="77777777" w:rsidR="00687597" w:rsidRDefault="00687597" w:rsidP="002C4715">
            <w:pPr>
              <w:pStyle w:val="ListParagraph"/>
              <w:jc w:val="both"/>
            </w:pPr>
          </w:p>
          <w:p w14:paraId="40CE3580" w14:textId="45E12A2B" w:rsidR="00B03436" w:rsidRDefault="00044655">
            <w:pPr>
              <w:pStyle w:val="ListParagraph"/>
              <w:numPr>
                <w:ilvl w:val="0"/>
                <w:numId w:val="9"/>
              </w:numPr>
              <w:jc w:val="both"/>
            </w:pPr>
            <w:r>
              <w:t>Inverclyde’s homeless service has a</w:t>
            </w:r>
            <w:r w:rsidR="00771D5E">
              <w:t>n</w:t>
            </w:r>
            <w:r>
              <w:t xml:space="preserve"> action plan in place </w:t>
            </w:r>
            <w:r w:rsidR="00B50A17">
              <w:t xml:space="preserve">to </w:t>
            </w:r>
            <w:r>
              <w:t>rebrand the service as a Housing Options and</w:t>
            </w:r>
            <w:r w:rsidR="0092733D">
              <w:t xml:space="preserve"> Homelessness</w:t>
            </w:r>
            <w:r>
              <w:t xml:space="preserve"> Advice service – focusing more close</w:t>
            </w:r>
            <w:r w:rsidR="00240236">
              <w:t>ly</w:t>
            </w:r>
            <w:r>
              <w:t xml:space="preserve"> on the prevention of homelessness</w:t>
            </w:r>
            <w:r w:rsidR="0030625B">
              <w:t xml:space="preserve">. </w:t>
            </w:r>
            <w:r w:rsidR="00D11A01">
              <w:t xml:space="preserve">This year of the RRTP has </w:t>
            </w:r>
            <w:r w:rsidR="0005384F">
              <w:t>focused on strategic</w:t>
            </w:r>
            <w:r w:rsidR="00D11A01">
              <w:t xml:space="preserve"> planning </w:t>
            </w:r>
            <w:r w:rsidR="0005384F">
              <w:t xml:space="preserve">for change with the </w:t>
            </w:r>
            <w:r w:rsidR="00177AC4">
              <w:t xml:space="preserve">Housing Options and </w:t>
            </w:r>
            <w:r w:rsidR="004D19C5">
              <w:t xml:space="preserve">Homelessness </w:t>
            </w:r>
            <w:r w:rsidR="00177AC4">
              <w:t xml:space="preserve">Advice </w:t>
            </w:r>
            <w:r w:rsidR="0005384F">
              <w:t>S</w:t>
            </w:r>
            <w:r w:rsidR="00177AC4">
              <w:t>ervice</w:t>
            </w:r>
            <w:r w:rsidR="002649B0">
              <w:t xml:space="preserve"> </w:t>
            </w:r>
            <w:r w:rsidR="0005384F">
              <w:t>launch in</w:t>
            </w:r>
            <w:r w:rsidR="002649B0">
              <w:t xml:space="preserve"> </w:t>
            </w:r>
            <w:r w:rsidR="00177AC4">
              <w:t xml:space="preserve">2023/24. </w:t>
            </w:r>
          </w:p>
          <w:p w14:paraId="41E74F09" w14:textId="16E9B219" w:rsidR="00B03436" w:rsidRDefault="00BB65A7" w:rsidP="002C4715">
            <w:pPr>
              <w:pStyle w:val="ListParagraph"/>
              <w:numPr>
                <w:ilvl w:val="0"/>
                <w:numId w:val="2"/>
              </w:numPr>
              <w:jc w:val="both"/>
            </w:pPr>
            <w:r>
              <w:t>T</w:t>
            </w:r>
            <w:r w:rsidR="00433C32">
              <w:t>he RRTP Steering Group has undertaken</w:t>
            </w:r>
            <w:r>
              <w:t xml:space="preserve"> a Prevention Mapping Activity – through </w:t>
            </w:r>
            <w:r w:rsidR="00433C32">
              <w:t>this</w:t>
            </w:r>
            <w:r w:rsidR="00C57C7E">
              <w:t xml:space="preserve"> activity</w:t>
            </w:r>
            <w:r w:rsidR="00433C32">
              <w:t xml:space="preserve"> </w:t>
            </w:r>
            <w:r w:rsidR="0005384F">
              <w:t>several</w:t>
            </w:r>
            <w:r w:rsidR="00433C32">
              <w:t xml:space="preserve"> </w:t>
            </w:r>
            <w:r w:rsidR="00BA7A1E">
              <w:t xml:space="preserve">recommendations </w:t>
            </w:r>
            <w:r w:rsidR="00433C32">
              <w:t xml:space="preserve">were made </w:t>
            </w:r>
            <w:r w:rsidR="00BA7A1E">
              <w:t xml:space="preserve">including an addition </w:t>
            </w:r>
            <w:r>
              <w:t>to RSL Tenancy Abandonment Process, requiring that RSLs inform the Homeless Service when they begin abandonment procedures</w:t>
            </w:r>
            <w:r w:rsidR="006D4F0E">
              <w:t>.</w:t>
            </w:r>
            <w:r w:rsidR="000E0F3E">
              <w:t xml:space="preserve"> </w:t>
            </w:r>
            <w:r w:rsidR="006D4F0E">
              <w:t>W</w:t>
            </w:r>
            <w:r w:rsidR="000E0F3E">
              <w:t xml:space="preserve">e have received </w:t>
            </w:r>
            <w:r w:rsidR="006D4F0E">
              <w:t xml:space="preserve">18 </w:t>
            </w:r>
            <w:r w:rsidR="000E0F3E">
              <w:t>notices in the past 6 months</w:t>
            </w:r>
            <w:r w:rsidR="006D4F0E">
              <w:t xml:space="preserve"> that abandonment investigations were underway or that procedures were beginning</w:t>
            </w:r>
            <w:r w:rsidR="000E0F3E">
              <w:t>.</w:t>
            </w:r>
            <w:r w:rsidR="000E27C6">
              <w:t xml:space="preserve"> </w:t>
            </w:r>
            <w:r w:rsidR="006D4F0E">
              <w:t>The impact of this activity will be</w:t>
            </w:r>
            <w:r w:rsidR="0032231A">
              <w:t xml:space="preserve"> evidenced by successful prevention work </w:t>
            </w:r>
            <w:r w:rsidR="00F64BE1">
              <w:t>for</w:t>
            </w:r>
            <w:r w:rsidR="0032231A">
              <w:t xml:space="preserve"> </w:t>
            </w:r>
            <w:r w:rsidR="008A1221">
              <w:t>cases where notice was received</w:t>
            </w:r>
            <w:r w:rsidR="00F64BE1">
              <w:t xml:space="preserve">, with households supported back into their tenancies where possible. </w:t>
            </w:r>
          </w:p>
          <w:p w14:paraId="61CFD672" w14:textId="6153D6B9" w:rsidR="00B8274E" w:rsidRDefault="003D1BEF" w:rsidP="002C4715">
            <w:pPr>
              <w:pStyle w:val="ListParagraph"/>
              <w:numPr>
                <w:ilvl w:val="0"/>
                <w:numId w:val="2"/>
              </w:numPr>
              <w:jc w:val="both"/>
            </w:pPr>
            <w:r>
              <w:t xml:space="preserve">RRTP funding of £56k has been allocated to procure essential items not included in SWF such as carpets and </w:t>
            </w:r>
            <w:r w:rsidR="00B8274E" w:rsidRPr="00B8274E">
              <w:t>washing machine</w:t>
            </w:r>
            <w:r w:rsidR="005C2AD4">
              <w:t>s</w:t>
            </w:r>
            <w:r>
              <w:t xml:space="preserve"> </w:t>
            </w:r>
            <w:r w:rsidR="0005384F" w:rsidRPr="00B8274E">
              <w:t>to</w:t>
            </w:r>
            <w:r w:rsidR="00B8274E" w:rsidRPr="00B8274E">
              <w:t xml:space="preserve"> make tenancies more sustainable</w:t>
            </w:r>
            <w:r w:rsidR="00B8274E">
              <w:t xml:space="preserve"> and prevent recurring homelessness</w:t>
            </w:r>
            <w:r w:rsidR="00694CBD">
              <w:t xml:space="preserve"> – at present this has been used to the benefit of 1</w:t>
            </w:r>
            <w:r w:rsidR="00852C09">
              <w:t>2</w:t>
            </w:r>
            <w:r w:rsidR="00694CBD">
              <w:t xml:space="preserve"> households </w:t>
            </w:r>
          </w:p>
          <w:p w14:paraId="7D62CCDF" w14:textId="098E5B30" w:rsidR="00E90CA1" w:rsidRDefault="0022088A" w:rsidP="002C4715">
            <w:pPr>
              <w:pStyle w:val="ListParagraph"/>
              <w:numPr>
                <w:ilvl w:val="0"/>
                <w:numId w:val="2"/>
              </w:numPr>
              <w:jc w:val="both"/>
            </w:pPr>
            <w:r>
              <w:t xml:space="preserve">Improving links with prisons for increasing early intervention work – we </w:t>
            </w:r>
            <w:r w:rsidR="00DB6F47">
              <w:t xml:space="preserve">are working with the Justice System </w:t>
            </w:r>
            <w:r w:rsidR="0005384F">
              <w:t>to</w:t>
            </w:r>
            <w:r w:rsidR="00DB6F47">
              <w:t xml:space="preserve"> establish housing pathways for prison liberations.</w:t>
            </w:r>
            <w:r w:rsidR="000901AB">
              <w:t xml:space="preserve"> The number of homeless applications that resulted due to a prison discharge has decreased from 37 in 2021/22 to </w:t>
            </w:r>
            <w:r w:rsidR="00DB6F47">
              <w:t>24</w:t>
            </w:r>
            <w:r w:rsidR="000901AB">
              <w:t xml:space="preserve"> in 2022/23. </w:t>
            </w:r>
          </w:p>
          <w:p w14:paraId="525A71B5" w14:textId="77777777" w:rsidR="006C01F0" w:rsidRDefault="006C01F0" w:rsidP="002C4715">
            <w:pPr>
              <w:ind w:left="360"/>
              <w:jc w:val="both"/>
            </w:pPr>
          </w:p>
        </w:tc>
      </w:tr>
    </w:tbl>
    <w:p w14:paraId="28D49B70" w14:textId="77777777" w:rsidR="00B03436" w:rsidRPr="00B03436" w:rsidRDefault="00B03436" w:rsidP="002C4715">
      <w:pPr>
        <w:ind w:left="360"/>
        <w:jc w:val="both"/>
      </w:pPr>
    </w:p>
    <w:tbl>
      <w:tblPr>
        <w:tblStyle w:val="TableGrid"/>
        <w:tblW w:w="0" w:type="auto"/>
        <w:tblInd w:w="360" w:type="dxa"/>
        <w:tblLook w:val="04A0" w:firstRow="1" w:lastRow="0" w:firstColumn="1" w:lastColumn="0" w:noHBand="0" w:noVBand="1"/>
      </w:tblPr>
      <w:tblGrid>
        <w:gridCol w:w="8656"/>
      </w:tblGrid>
      <w:tr w:rsidR="00B03436" w14:paraId="04B82072" w14:textId="77777777" w:rsidTr="005A16DB">
        <w:tc>
          <w:tcPr>
            <w:tcW w:w="9016" w:type="dxa"/>
            <w:shd w:val="clear" w:color="auto" w:fill="BDD6EE" w:themeFill="accent1" w:themeFillTint="66"/>
          </w:tcPr>
          <w:p w14:paraId="7F5BEDA0" w14:textId="77777777" w:rsidR="00B03436" w:rsidRDefault="00B03436" w:rsidP="002C4715">
            <w:pPr>
              <w:jc w:val="both"/>
            </w:pPr>
            <w:r>
              <w:t xml:space="preserve">Objective 2:  </w:t>
            </w:r>
            <w:r w:rsidRPr="00B03436">
              <w:t>Enable service users with no/low support needs to access settled housing quickly</w:t>
            </w:r>
          </w:p>
        </w:tc>
      </w:tr>
      <w:tr w:rsidR="00B03436" w14:paraId="57F7FC75" w14:textId="77777777" w:rsidTr="00B03436">
        <w:tc>
          <w:tcPr>
            <w:tcW w:w="9016" w:type="dxa"/>
          </w:tcPr>
          <w:p w14:paraId="116EBA2A" w14:textId="77777777" w:rsidR="00687597" w:rsidRDefault="00687597" w:rsidP="002C4715">
            <w:pPr>
              <w:pStyle w:val="ListParagraph"/>
              <w:jc w:val="both"/>
            </w:pPr>
          </w:p>
          <w:p w14:paraId="26C158B5" w14:textId="641698C2" w:rsidR="00B03436" w:rsidRDefault="00611078" w:rsidP="002C4715">
            <w:pPr>
              <w:pStyle w:val="ListParagraph"/>
              <w:numPr>
                <w:ilvl w:val="0"/>
                <w:numId w:val="3"/>
              </w:numPr>
              <w:jc w:val="both"/>
            </w:pPr>
            <w:r>
              <w:t>In the 4</w:t>
            </w:r>
            <w:r w:rsidRPr="00611078">
              <w:rPr>
                <w:vertAlign w:val="superscript"/>
              </w:rPr>
              <w:t>th</w:t>
            </w:r>
            <w:r w:rsidR="00B03436">
              <w:t xml:space="preserve"> year of Inverclyde’s RRTP </w:t>
            </w:r>
            <w:r w:rsidR="000A247E">
              <w:t xml:space="preserve">we have been able to ‘flip’ </w:t>
            </w:r>
            <w:r w:rsidR="001626B6">
              <w:t>2 further</w:t>
            </w:r>
            <w:r w:rsidR="003D1870">
              <w:t xml:space="preserve"> t</w:t>
            </w:r>
            <w:r w:rsidR="00B03436">
              <w:t xml:space="preserve">emporary </w:t>
            </w:r>
            <w:r w:rsidR="0005384F">
              <w:t>occupancy agreements</w:t>
            </w:r>
            <w:r w:rsidR="00240236">
              <w:t xml:space="preserve"> </w:t>
            </w:r>
            <w:r>
              <w:t xml:space="preserve">to Scottish Secure Tenancies bringing the total </w:t>
            </w:r>
            <w:r w:rsidR="000A247E">
              <w:t xml:space="preserve">number of flipped tenancies to </w:t>
            </w:r>
            <w:r w:rsidR="00534538">
              <w:t>2</w:t>
            </w:r>
            <w:r w:rsidR="005014D5">
              <w:t>1</w:t>
            </w:r>
            <w:r w:rsidR="00FB3CA9">
              <w:t xml:space="preserve"> – limiting disruption to a household’s </w:t>
            </w:r>
            <w:r w:rsidR="006724E9">
              <w:t>journey</w:t>
            </w:r>
            <w:r w:rsidR="00FB3CA9">
              <w:t xml:space="preserve"> and </w:t>
            </w:r>
            <w:r w:rsidR="006724E9">
              <w:t>reducing</w:t>
            </w:r>
            <w:r w:rsidR="00FB3CA9">
              <w:t xml:space="preserve"> the stigma associated with temporary accommodation</w:t>
            </w:r>
            <w:r w:rsidR="006724E9">
              <w:t xml:space="preserve"> units. </w:t>
            </w:r>
          </w:p>
          <w:p w14:paraId="6274E06F" w14:textId="764CF1A3" w:rsidR="00B03436" w:rsidRDefault="00B03436" w:rsidP="002C4715">
            <w:pPr>
              <w:pStyle w:val="ListParagraph"/>
              <w:numPr>
                <w:ilvl w:val="0"/>
                <w:numId w:val="3"/>
              </w:numPr>
              <w:jc w:val="both"/>
            </w:pPr>
            <w:r>
              <w:t xml:space="preserve">The </w:t>
            </w:r>
            <w:r w:rsidR="000C659C">
              <w:t xml:space="preserve">average </w:t>
            </w:r>
            <w:r>
              <w:t>time spent in temporary accomm</w:t>
            </w:r>
            <w:r w:rsidR="00100922">
              <w:t>odation has been reduced from 138 d</w:t>
            </w:r>
            <w:r>
              <w:t xml:space="preserve">ays </w:t>
            </w:r>
            <w:r w:rsidR="000A247E">
              <w:t xml:space="preserve">in 2021/22 to </w:t>
            </w:r>
            <w:r w:rsidR="00DB6F47">
              <w:t>113</w:t>
            </w:r>
            <w:r w:rsidR="000A247E">
              <w:t xml:space="preserve"> </w:t>
            </w:r>
            <w:r w:rsidR="00100922">
              <w:t>days in 2022/23</w:t>
            </w:r>
            <w:r w:rsidR="00262CDE">
              <w:t>.</w:t>
            </w:r>
          </w:p>
          <w:p w14:paraId="10570EB1" w14:textId="710AB807" w:rsidR="00FA5296" w:rsidRDefault="00FA5296" w:rsidP="002C4715">
            <w:pPr>
              <w:pStyle w:val="ListParagraph"/>
              <w:numPr>
                <w:ilvl w:val="0"/>
                <w:numId w:val="3"/>
              </w:numPr>
              <w:jc w:val="both"/>
            </w:pPr>
            <w:r>
              <w:t>Commissioned CRISIS to complete a survey of the Private Rented Sector to map the attitudes of local private landlords</w:t>
            </w:r>
            <w:r w:rsidR="00771D5E">
              <w:t>.  T</w:t>
            </w:r>
            <w:r>
              <w:t>he intention of building a closer relationship with and increase opportunity to access the sector</w:t>
            </w:r>
            <w:r w:rsidR="00771D5E">
              <w:t xml:space="preserve">, </w:t>
            </w:r>
            <w:r>
              <w:t>prevention of homelessness and discharge of homeless cases into the PRS</w:t>
            </w:r>
            <w:r w:rsidR="00262CDE">
              <w:t>.</w:t>
            </w:r>
          </w:p>
          <w:p w14:paraId="38D2E382" w14:textId="15E3B266" w:rsidR="00B03436" w:rsidRDefault="00D15184" w:rsidP="002C4715">
            <w:pPr>
              <w:pStyle w:val="ListParagraph"/>
              <w:numPr>
                <w:ilvl w:val="0"/>
                <w:numId w:val="3"/>
              </w:numPr>
              <w:jc w:val="both"/>
            </w:pPr>
            <w:r>
              <w:t xml:space="preserve">In partnership with social housing </w:t>
            </w:r>
            <w:r w:rsidR="00100034">
              <w:t>associations, reviewed</w:t>
            </w:r>
            <w:r w:rsidR="00BB65A7">
              <w:t xml:space="preserve"> the section 5 </w:t>
            </w:r>
            <w:r w:rsidR="00F64BE1">
              <w:t>process.</w:t>
            </w:r>
            <w:r w:rsidR="00BB65A7">
              <w:t xml:space="preserve"> </w:t>
            </w:r>
            <w:r w:rsidR="00611078">
              <w:t xml:space="preserve">The section 5 referral protocol </w:t>
            </w:r>
            <w:r w:rsidR="00611078" w:rsidRPr="00611078">
              <w:t>is</w:t>
            </w:r>
            <w:r>
              <w:t xml:space="preserve"> now</w:t>
            </w:r>
            <w:r w:rsidR="00611078" w:rsidRPr="00611078">
              <w:t xml:space="preserve"> both applicant-led (person-led) or void-led (property-led), to maximise available RSL’s housing stock, applicants’ choice and to enhance quick discharge of homelessness duties.</w:t>
            </w:r>
          </w:p>
          <w:p w14:paraId="0BC0D3C4" w14:textId="4C32B800" w:rsidR="00771D5E" w:rsidRDefault="006C01F0" w:rsidP="002C4715">
            <w:pPr>
              <w:pStyle w:val="ListParagraph"/>
              <w:numPr>
                <w:ilvl w:val="0"/>
                <w:numId w:val="3"/>
              </w:numPr>
              <w:jc w:val="both"/>
            </w:pPr>
            <w:r>
              <w:t>Through continuous collaborative working with local housing associations</w:t>
            </w:r>
            <w:r w:rsidR="0000128A">
              <w:t xml:space="preserve"> 14% of all social housing lets in 2022/23 went to homeless households</w:t>
            </w:r>
            <w:r w:rsidR="00771D5E">
              <w:t xml:space="preserve">. </w:t>
            </w:r>
            <w:r w:rsidR="0005384F">
              <w:t>River Clyde</w:t>
            </w:r>
            <w:r w:rsidR="00262CDE">
              <w:t xml:space="preserve"> </w:t>
            </w:r>
            <w:r w:rsidR="0000128A">
              <w:t>H</w:t>
            </w:r>
            <w:r w:rsidR="00262CDE">
              <w:t>omes</w:t>
            </w:r>
            <w:r w:rsidR="0000128A">
              <w:t xml:space="preserve"> allocation of social lets in 2020/21 was 9% </w:t>
            </w:r>
            <w:r w:rsidR="00103DD4">
              <w:t xml:space="preserve">to homeless households </w:t>
            </w:r>
            <w:r w:rsidR="00771D5E">
              <w:t xml:space="preserve">and has risen to </w:t>
            </w:r>
            <w:r w:rsidR="0000128A">
              <w:t xml:space="preserve">17%. </w:t>
            </w:r>
            <w:r w:rsidR="00771D5E">
              <w:t>An agreement is in place between RSLs and the service to share le</w:t>
            </w:r>
            <w:r w:rsidR="0000128A">
              <w:t>tting activity</w:t>
            </w:r>
            <w:r w:rsidR="00771D5E">
              <w:t xml:space="preserve"> </w:t>
            </w:r>
            <w:r w:rsidR="0000128A">
              <w:t xml:space="preserve">as </w:t>
            </w:r>
            <w:r w:rsidR="0000128A">
              <w:lastRenderedPageBreak/>
              <w:t>part of our commitment for better communication</w:t>
            </w:r>
            <w:r w:rsidR="00771D5E">
              <w:t xml:space="preserve">, </w:t>
            </w:r>
            <w:r w:rsidR="0000128A">
              <w:t xml:space="preserve">engagement </w:t>
            </w:r>
            <w:r w:rsidR="00771D5E">
              <w:t xml:space="preserve">and joint working </w:t>
            </w:r>
            <w:r w:rsidR="0000128A">
              <w:t xml:space="preserve">between the services responsible for housing people in urgent need. </w:t>
            </w:r>
          </w:p>
          <w:p w14:paraId="6C38F522" w14:textId="0A849648" w:rsidR="003D1BEF" w:rsidRDefault="00771D5E" w:rsidP="002C4715">
            <w:pPr>
              <w:pStyle w:val="ListParagraph"/>
              <w:numPr>
                <w:ilvl w:val="0"/>
                <w:numId w:val="3"/>
              </w:numPr>
              <w:jc w:val="both"/>
            </w:pPr>
            <w:r>
              <w:t xml:space="preserve">The rapid re-housing </w:t>
            </w:r>
            <w:r w:rsidR="00815DC1">
              <w:t>support team</w:t>
            </w:r>
            <w:r>
              <w:t xml:space="preserve"> </w:t>
            </w:r>
            <w:r w:rsidR="003D1BEF">
              <w:t xml:space="preserve">is supporting </w:t>
            </w:r>
            <w:r w:rsidR="0005384F">
              <w:t>50</w:t>
            </w:r>
            <w:r w:rsidR="003D1BEF">
              <w:t xml:space="preserve"> households</w:t>
            </w:r>
            <w:r w:rsidR="0035698C">
              <w:t>,</w:t>
            </w:r>
            <w:r>
              <w:t xml:space="preserve"> from </w:t>
            </w:r>
            <w:r w:rsidR="00100034">
              <w:t>short-term, low-level</w:t>
            </w:r>
            <w:r>
              <w:t xml:space="preserve"> support to longer term </w:t>
            </w:r>
            <w:r w:rsidR="0035698C">
              <w:t xml:space="preserve">sustainable support to those with the most complex needs.  </w:t>
            </w:r>
            <w:r>
              <w:t xml:space="preserve"> </w:t>
            </w:r>
          </w:p>
          <w:p w14:paraId="6EE1654C" w14:textId="77777777" w:rsidR="003D1870" w:rsidRDefault="003D1870" w:rsidP="002C4715">
            <w:pPr>
              <w:pStyle w:val="ListParagraph"/>
              <w:jc w:val="both"/>
            </w:pPr>
          </w:p>
        </w:tc>
      </w:tr>
    </w:tbl>
    <w:p w14:paraId="5DCB59B2" w14:textId="77777777" w:rsidR="0081627F" w:rsidRDefault="0081627F" w:rsidP="00332908"/>
    <w:tbl>
      <w:tblPr>
        <w:tblStyle w:val="TableGrid"/>
        <w:tblW w:w="0" w:type="auto"/>
        <w:tblInd w:w="360" w:type="dxa"/>
        <w:tblLook w:val="04A0" w:firstRow="1" w:lastRow="0" w:firstColumn="1" w:lastColumn="0" w:noHBand="0" w:noVBand="1"/>
      </w:tblPr>
      <w:tblGrid>
        <w:gridCol w:w="8656"/>
      </w:tblGrid>
      <w:tr w:rsidR="00B03436" w14:paraId="7263258B" w14:textId="77777777" w:rsidTr="005A16DB">
        <w:tc>
          <w:tcPr>
            <w:tcW w:w="9016" w:type="dxa"/>
            <w:shd w:val="clear" w:color="auto" w:fill="BDD6EE" w:themeFill="accent1" w:themeFillTint="66"/>
          </w:tcPr>
          <w:p w14:paraId="26CBC577" w14:textId="77777777" w:rsidR="00B03436" w:rsidRDefault="00B03436" w:rsidP="002C4715">
            <w:pPr>
              <w:jc w:val="both"/>
            </w:pPr>
            <w:r>
              <w:t xml:space="preserve">Objective 3: </w:t>
            </w:r>
            <w:r w:rsidRPr="00B03436">
              <w:t>Implement a Housing First model which enables excluded service users to achieve housing sustainment</w:t>
            </w:r>
          </w:p>
        </w:tc>
      </w:tr>
      <w:tr w:rsidR="00B03436" w14:paraId="255CC24C" w14:textId="77777777" w:rsidTr="00B03436">
        <w:tc>
          <w:tcPr>
            <w:tcW w:w="9016" w:type="dxa"/>
          </w:tcPr>
          <w:p w14:paraId="58A4741E" w14:textId="77777777" w:rsidR="00687597" w:rsidRDefault="00687597" w:rsidP="002C4715">
            <w:pPr>
              <w:pStyle w:val="ListParagraph"/>
              <w:jc w:val="both"/>
            </w:pPr>
          </w:p>
          <w:p w14:paraId="6E1B0E98" w14:textId="38DB79CB" w:rsidR="009B2A07" w:rsidRDefault="009B2A07" w:rsidP="009B2A07">
            <w:pPr>
              <w:pStyle w:val="ListParagraph"/>
              <w:numPr>
                <w:ilvl w:val="0"/>
                <w:numId w:val="4"/>
              </w:numPr>
              <w:jc w:val="both"/>
            </w:pPr>
            <w:r>
              <w:t>‘</w:t>
            </w:r>
            <w:r w:rsidRPr="0075061A">
              <w:t>Introduction to Housing First</w:t>
            </w:r>
            <w:r>
              <w:t>’</w:t>
            </w:r>
            <w:r w:rsidRPr="0075061A">
              <w:t xml:space="preserve"> training has been procured and delivered by Turning </w:t>
            </w:r>
            <w:r>
              <w:t xml:space="preserve">Point Scotland to 64 staff members, with </w:t>
            </w:r>
            <w:r w:rsidR="002C5BA8">
              <w:t xml:space="preserve">a further </w:t>
            </w:r>
            <w:r>
              <w:t>20</w:t>
            </w:r>
            <w:r w:rsidRPr="0075061A">
              <w:t xml:space="preserve"> </w:t>
            </w:r>
            <w:r>
              <w:t>undertaking</w:t>
            </w:r>
            <w:r w:rsidRPr="0075061A">
              <w:t xml:space="preserve"> Pr</w:t>
            </w:r>
            <w:r>
              <w:t>actitioners training and 10</w:t>
            </w:r>
            <w:r w:rsidRPr="0075061A">
              <w:t xml:space="preserve"> senior officers attending </w:t>
            </w:r>
            <w:r>
              <w:t>Housing First Mangers Training</w:t>
            </w:r>
            <w:r w:rsidR="002C5BA8">
              <w:t xml:space="preserve"> across</w:t>
            </w:r>
            <w:r w:rsidRPr="0075061A">
              <w:t xml:space="preserve"> Inverclyde Council, Inverclyde HSCP, Registered Social Landlords and third sector housing support providers.</w:t>
            </w:r>
          </w:p>
          <w:p w14:paraId="337AA42C" w14:textId="64196D37" w:rsidR="00B03436" w:rsidRDefault="0035698C" w:rsidP="006D7F6C">
            <w:pPr>
              <w:pStyle w:val="ListParagraph"/>
              <w:numPr>
                <w:ilvl w:val="0"/>
                <w:numId w:val="4"/>
              </w:numPr>
              <w:jc w:val="both"/>
            </w:pPr>
            <w:r>
              <w:t>I</w:t>
            </w:r>
            <w:r w:rsidR="002C75AD">
              <w:t xml:space="preserve">nitiation of </w:t>
            </w:r>
            <w:r w:rsidR="00B23FC3">
              <w:t xml:space="preserve">Inverclyde’s </w:t>
            </w:r>
            <w:r w:rsidR="002C75AD">
              <w:t>Housing First Pathwa</w:t>
            </w:r>
            <w:r w:rsidR="00B23FC3">
              <w:t xml:space="preserve">y </w:t>
            </w:r>
            <w:r w:rsidR="00F34A7E">
              <w:t>was delayed due to the Covid-</w:t>
            </w:r>
            <w:r w:rsidR="002C75AD">
              <w:t>19 pandemic</w:t>
            </w:r>
            <w:r w:rsidR="000E27C6">
              <w:t xml:space="preserve"> </w:t>
            </w:r>
            <w:r w:rsidR="008A1221">
              <w:t>but became fully operational with</w:t>
            </w:r>
            <w:r w:rsidR="000E27C6">
              <w:t xml:space="preserve"> introduction of the Rapid Rehousing Support Tea</w:t>
            </w:r>
            <w:r w:rsidR="008A1221">
              <w:t>m.</w:t>
            </w:r>
          </w:p>
          <w:p w14:paraId="02F90AC6" w14:textId="688C048E" w:rsidR="003D1BEF" w:rsidRPr="000E27C6" w:rsidRDefault="008A1221" w:rsidP="002C4715">
            <w:pPr>
              <w:pStyle w:val="ListParagraph"/>
              <w:numPr>
                <w:ilvl w:val="0"/>
                <w:numId w:val="4"/>
              </w:numPr>
              <w:jc w:val="both"/>
            </w:pPr>
            <w:r>
              <w:t xml:space="preserve">At this time, </w:t>
            </w:r>
            <w:r w:rsidR="00AF11DA" w:rsidRPr="000E27C6">
              <w:t xml:space="preserve">Housing First support has been provided to </w:t>
            </w:r>
            <w:r w:rsidR="0005384F" w:rsidRPr="000E27C6">
              <w:t>58</w:t>
            </w:r>
            <w:r w:rsidR="00AF11DA" w:rsidRPr="000E27C6">
              <w:t xml:space="preserve"> individuals in total. </w:t>
            </w:r>
          </w:p>
          <w:p w14:paraId="6A3B3353" w14:textId="58CCDD38" w:rsidR="003E7444" w:rsidRDefault="003E7444" w:rsidP="002C4715">
            <w:pPr>
              <w:pStyle w:val="ListParagraph"/>
              <w:numPr>
                <w:ilvl w:val="0"/>
                <w:numId w:val="4"/>
              </w:numPr>
              <w:jc w:val="both"/>
            </w:pPr>
            <w:r>
              <w:t xml:space="preserve">Prior to the initiation of our Rapid Rehousing Support workers the service had </w:t>
            </w:r>
            <w:r w:rsidR="003D1BEF">
              <w:t xml:space="preserve">nine </w:t>
            </w:r>
            <w:r>
              <w:t>clients receiving HF support</w:t>
            </w:r>
            <w:r w:rsidR="007E72DB">
              <w:t xml:space="preserve"> through 3</w:t>
            </w:r>
            <w:r w:rsidR="007E72DB" w:rsidRPr="007E72DB">
              <w:rPr>
                <w:vertAlign w:val="superscript"/>
              </w:rPr>
              <w:t>rd</w:t>
            </w:r>
            <w:r w:rsidR="003D1BEF">
              <w:t xml:space="preserve"> sector organisations</w:t>
            </w:r>
            <w:r w:rsidR="007E72DB">
              <w:t xml:space="preserve">. </w:t>
            </w:r>
            <w:r w:rsidR="000E27C6">
              <w:t>T</w:t>
            </w:r>
            <w:r w:rsidR="006D7F6C">
              <w:t>his represents an increase of</w:t>
            </w:r>
            <w:r w:rsidR="007E72DB">
              <w:t xml:space="preserve"> over </w:t>
            </w:r>
            <w:r w:rsidR="0005384F">
              <w:t>5</w:t>
            </w:r>
            <w:r w:rsidR="007E72DB">
              <w:t>00</w:t>
            </w:r>
            <w:r>
              <w:t>%</w:t>
            </w:r>
            <w:r w:rsidR="000E27C6">
              <w:t xml:space="preserve">, </w:t>
            </w:r>
            <w:r>
              <w:t>indicating that the service now has a much larger scope for providing Housing First path</w:t>
            </w:r>
            <w:r w:rsidR="00130D9C">
              <w:t>ways without the restrictions on availability of</w:t>
            </w:r>
            <w:r>
              <w:t xml:space="preserve"> local commissioned supports</w:t>
            </w:r>
            <w:r w:rsidR="00815DC1">
              <w:t>.</w:t>
            </w:r>
          </w:p>
          <w:p w14:paraId="44A4642E" w14:textId="5BE483F0" w:rsidR="00D05699" w:rsidRDefault="00D05699" w:rsidP="00D05699">
            <w:pPr>
              <w:pStyle w:val="ListParagraph"/>
              <w:numPr>
                <w:ilvl w:val="0"/>
                <w:numId w:val="4"/>
              </w:numPr>
              <w:jc w:val="both"/>
            </w:pPr>
            <w:r>
              <w:t xml:space="preserve">Consideration for the housing first pathway largely came from identification of beneficiaries with the following history - </w:t>
            </w:r>
            <w:r w:rsidR="00561056">
              <w:t>h</w:t>
            </w:r>
            <w:r>
              <w:t xml:space="preserve">omeless/Long history of repeat homelessness/tenancy failures, experience of trauma/abuse, ongoing addictions and/or mental health issues and experience of institutional care or imprisonment.  Referral routes are open to a range of partners </w:t>
            </w:r>
            <w:r w:rsidRPr="00D05699">
              <w:t>including homeless service, addiction and mental health services, community/criminal justice, family and children teams and third sector partners</w:t>
            </w:r>
            <w:r>
              <w:t>.</w:t>
            </w:r>
          </w:p>
          <w:p w14:paraId="63C3F39C" w14:textId="1787B6F3" w:rsidR="00AA697B" w:rsidRDefault="00EB2CC1" w:rsidP="002C4715">
            <w:pPr>
              <w:pStyle w:val="ListParagraph"/>
              <w:numPr>
                <w:ilvl w:val="0"/>
                <w:numId w:val="4"/>
              </w:numPr>
              <w:jc w:val="both"/>
            </w:pPr>
            <w:r>
              <w:t>The service</w:t>
            </w:r>
            <w:r w:rsidR="00D05699">
              <w:t xml:space="preserve"> additionally</w:t>
            </w:r>
            <w:r>
              <w:t xml:space="preserve"> focused </w:t>
            </w:r>
            <w:r w:rsidR="00100034">
              <w:t xml:space="preserve">on </w:t>
            </w:r>
            <w:r>
              <w:t xml:space="preserve">cases facing or experiencing long term homelessness – all persons experiencing long term homelessness were automatically referred to the in-house support team while </w:t>
            </w:r>
            <w:r w:rsidR="000C659C">
              <w:t>the Assessment and Support Officers concentrated on households</w:t>
            </w:r>
            <w:r>
              <w:t xml:space="preserve"> approaching long term homelessness </w:t>
            </w:r>
            <w:r w:rsidR="0005384F">
              <w:t>to</w:t>
            </w:r>
            <w:r w:rsidR="007E2CE1">
              <w:t xml:space="preserve"> prevent this. Th</w:t>
            </w:r>
            <w:r w:rsidR="000A247E">
              <w:t xml:space="preserve">is resulted in a reduction of </w:t>
            </w:r>
            <w:r w:rsidR="004C0284">
              <w:t>21</w:t>
            </w:r>
            <w:r w:rsidR="00815DC1">
              <w:t>%</w:t>
            </w:r>
            <w:r w:rsidR="000A247E">
              <w:t xml:space="preserve"> </w:t>
            </w:r>
            <w:r w:rsidR="007E2CE1">
              <w:t>from Q3 to Q4 when this focused approach commenced.</w:t>
            </w:r>
            <w:r w:rsidR="00815DC1">
              <w:t xml:space="preserve"> </w:t>
            </w:r>
          </w:p>
          <w:p w14:paraId="369AF5F7" w14:textId="12CF0467" w:rsidR="003951B5" w:rsidRDefault="003D1BEF" w:rsidP="002C4715">
            <w:pPr>
              <w:pStyle w:val="ListParagraph"/>
              <w:numPr>
                <w:ilvl w:val="0"/>
                <w:numId w:val="4"/>
              </w:numPr>
              <w:jc w:val="both"/>
            </w:pPr>
            <w:r>
              <w:t xml:space="preserve">Engagement </w:t>
            </w:r>
            <w:r w:rsidR="00B32FE0">
              <w:t>wi</w:t>
            </w:r>
            <w:r w:rsidR="00D304B8">
              <w:t>th those with lived experience</w:t>
            </w:r>
            <w:r>
              <w:t xml:space="preserve"> is improving</w:t>
            </w:r>
            <w:r w:rsidR="00D304B8">
              <w:t xml:space="preserve"> </w:t>
            </w:r>
            <w:r w:rsidR="00B32FE0">
              <w:t>in relation to how we d</w:t>
            </w:r>
            <w:r>
              <w:t xml:space="preserve">eliver our services – collaboration </w:t>
            </w:r>
            <w:r w:rsidR="00B32FE0">
              <w:t>with local commu</w:t>
            </w:r>
            <w:r w:rsidR="00D304B8">
              <w:t xml:space="preserve">nity care Forum, Your Voice </w:t>
            </w:r>
            <w:r>
              <w:t>has resulted in</w:t>
            </w:r>
            <w:r w:rsidR="00B32FE0">
              <w:t xml:space="preserve"> an engagement session with a group of homeless or previously homeless households to discuss some areas of </w:t>
            </w:r>
            <w:r w:rsidR="00B106DA">
              <w:t xml:space="preserve">suggested </w:t>
            </w:r>
            <w:r w:rsidR="00B32FE0">
              <w:t>improvement within the service and communicate to the group the changes the service was making. Since this session Your Voice have</w:t>
            </w:r>
            <w:r w:rsidR="00B106DA">
              <w:t xml:space="preserve"> continued to provide representation on the</w:t>
            </w:r>
            <w:r w:rsidR="00D304B8">
              <w:t xml:space="preserve"> Communication and E</w:t>
            </w:r>
            <w:r w:rsidR="00B32FE0">
              <w:t xml:space="preserve">ngagement </w:t>
            </w:r>
            <w:r w:rsidR="00961343">
              <w:t>subgroup and</w:t>
            </w:r>
            <w:r w:rsidR="00B106DA">
              <w:t xml:space="preserve"> continue to deliver valuable </w:t>
            </w:r>
            <w:r w:rsidR="00B32FE0">
              <w:t>feedba</w:t>
            </w:r>
            <w:r w:rsidR="00D304B8">
              <w:t>ck from the group</w:t>
            </w:r>
            <w:r w:rsidR="00B32FE0">
              <w:t xml:space="preserve">, this includes sense checking outgoing </w:t>
            </w:r>
            <w:r w:rsidR="00D304B8">
              <w:t>communications</w:t>
            </w:r>
            <w:r w:rsidR="00B32FE0">
              <w:t xml:space="preserve"> </w:t>
            </w:r>
            <w:r w:rsidR="0032308B">
              <w:t>i.e.,</w:t>
            </w:r>
            <w:r w:rsidR="00B32FE0">
              <w:t xml:space="preserve"> general information leaflet</w:t>
            </w:r>
            <w:r w:rsidR="00D304B8">
              <w:t>s</w:t>
            </w:r>
            <w:r w:rsidR="00B32FE0">
              <w:t>, giving their perceptions on st</w:t>
            </w:r>
            <w:r w:rsidR="00D304B8">
              <w:t xml:space="preserve">igmatising language etc. </w:t>
            </w:r>
            <w:r w:rsidR="00B106DA">
              <w:t xml:space="preserve">Resident interviews have also taken place to reveal </w:t>
            </w:r>
            <w:r w:rsidR="00D304B8">
              <w:t xml:space="preserve">perceptions on their journey through the service – details of </w:t>
            </w:r>
            <w:r w:rsidR="00264A8C">
              <w:t xml:space="preserve">one </w:t>
            </w:r>
            <w:r w:rsidR="00D304B8">
              <w:t xml:space="preserve">these homeless journeys can be found in section 5. </w:t>
            </w:r>
          </w:p>
          <w:p w14:paraId="6F65899A" w14:textId="174E6C3C" w:rsidR="00965E7A" w:rsidRDefault="00965E7A" w:rsidP="002C4715">
            <w:pPr>
              <w:pStyle w:val="ListParagraph"/>
              <w:jc w:val="both"/>
            </w:pPr>
          </w:p>
        </w:tc>
      </w:tr>
    </w:tbl>
    <w:p w14:paraId="7296A011" w14:textId="77777777" w:rsidR="00B03436" w:rsidRDefault="00B03436" w:rsidP="00FB6C6E">
      <w:pPr>
        <w:ind w:left="360"/>
      </w:pPr>
    </w:p>
    <w:tbl>
      <w:tblPr>
        <w:tblStyle w:val="TableGrid"/>
        <w:tblW w:w="0" w:type="auto"/>
        <w:tblInd w:w="360" w:type="dxa"/>
        <w:tblLook w:val="04A0" w:firstRow="1" w:lastRow="0" w:firstColumn="1" w:lastColumn="0" w:noHBand="0" w:noVBand="1"/>
      </w:tblPr>
      <w:tblGrid>
        <w:gridCol w:w="8656"/>
      </w:tblGrid>
      <w:tr w:rsidR="00B03436" w14:paraId="4B966F6E" w14:textId="77777777" w:rsidTr="005A16DB">
        <w:tc>
          <w:tcPr>
            <w:tcW w:w="8656" w:type="dxa"/>
            <w:shd w:val="clear" w:color="auto" w:fill="BDD6EE" w:themeFill="accent1" w:themeFillTint="66"/>
          </w:tcPr>
          <w:p w14:paraId="1787B0CD" w14:textId="77777777" w:rsidR="00B03436" w:rsidRDefault="00B03436" w:rsidP="00FB6C6E">
            <w:r>
              <w:t xml:space="preserve">Objective 4: </w:t>
            </w:r>
            <w:r w:rsidRPr="00B03436">
              <w:t>Enable service users who need specialist supported housing to access commissioned HSCP services</w:t>
            </w:r>
          </w:p>
        </w:tc>
      </w:tr>
      <w:tr w:rsidR="00B03436" w14:paraId="504EE106" w14:textId="77777777" w:rsidTr="00C73704">
        <w:tc>
          <w:tcPr>
            <w:tcW w:w="8656" w:type="dxa"/>
          </w:tcPr>
          <w:p w14:paraId="32761BCB" w14:textId="77777777" w:rsidR="00687597" w:rsidRDefault="00687597" w:rsidP="002C4715">
            <w:pPr>
              <w:pStyle w:val="ListParagraph"/>
              <w:jc w:val="both"/>
            </w:pPr>
          </w:p>
          <w:p w14:paraId="2D2888B6" w14:textId="77777777" w:rsidR="004574AE" w:rsidRPr="004574AE" w:rsidRDefault="00B03436" w:rsidP="004574AE">
            <w:pPr>
              <w:pStyle w:val="ListParagraph"/>
              <w:numPr>
                <w:ilvl w:val="0"/>
                <w:numId w:val="4"/>
              </w:numPr>
              <w:jc w:val="both"/>
            </w:pPr>
            <w:r>
              <w:t xml:space="preserve">The service </w:t>
            </w:r>
            <w:r w:rsidR="00B106DA">
              <w:t xml:space="preserve">has undertaken </w:t>
            </w:r>
            <w:r>
              <w:t>a mapping exercise</w:t>
            </w:r>
            <w:r w:rsidR="00166CA3">
              <w:t xml:space="preserve"> </w:t>
            </w:r>
            <w:r w:rsidR="00166CA3" w:rsidRPr="00C73EAB">
              <w:t>to capture available supported accommodation in the area with a view to identifying existing resource for specialist supported accommodation for homeless persons with complex support needs.</w:t>
            </w:r>
            <w:r w:rsidR="0005071C">
              <w:t xml:space="preserve"> This report </w:t>
            </w:r>
            <w:r w:rsidR="0005071C">
              <w:rPr>
                <w:rFonts w:cstheme="minorHAnsi"/>
                <w:bCs/>
                <w:color w:val="000000"/>
                <w:lang w:val="en-US"/>
              </w:rPr>
              <w:t xml:space="preserve">surmised that required support needs outstrips available capacity both in terms of meeting diverse support needs and in capacity within commissioned supported accommodations. </w:t>
            </w:r>
          </w:p>
          <w:p w14:paraId="567FF59E" w14:textId="0742E65F" w:rsidR="004574AE" w:rsidRDefault="004574AE" w:rsidP="004574AE">
            <w:pPr>
              <w:pStyle w:val="ListParagraph"/>
              <w:numPr>
                <w:ilvl w:val="0"/>
                <w:numId w:val="4"/>
              </w:numPr>
              <w:jc w:val="both"/>
            </w:pPr>
            <w:r>
              <w:t xml:space="preserve">A report by </w:t>
            </w:r>
            <w:proofErr w:type="spellStart"/>
            <w:r>
              <w:t>Arneil</w:t>
            </w:r>
            <w:proofErr w:type="spellEnd"/>
            <w:r>
              <w:t xml:space="preserve"> Johnston in 2018 on Temporary Accommodation requirements in Inverclyde assessed that 15% of homeless applicants required specialist interim supported accommodation. The report projected 13 supported accommodation units to meet this demand.  </w:t>
            </w:r>
          </w:p>
          <w:p w14:paraId="0995B13E" w14:textId="20B6DADE" w:rsidR="00C73704" w:rsidRDefault="0035698C" w:rsidP="002C4715">
            <w:pPr>
              <w:pStyle w:val="ListParagraph"/>
              <w:numPr>
                <w:ilvl w:val="0"/>
                <w:numId w:val="4"/>
              </w:numPr>
              <w:jc w:val="both"/>
            </w:pPr>
            <w:r>
              <w:t xml:space="preserve">Development work is underway </w:t>
            </w:r>
            <w:r w:rsidR="00C73704">
              <w:t>with local housing associations on core and cluster style accommodation</w:t>
            </w:r>
            <w:r>
              <w:t xml:space="preserve"> models</w:t>
            </w:r>
            <w:r w:rsidR="007E72DB">
              <w:t xml:space="preserve"> to match the varying needs of households coming through this service</w:t>
            </w:r>
            <w:r>
              <w:t xml:space="preserve">.  It will also </w:t>
            </w:r>
            <w:r w:rsidR="0005071C">
              <w:t>support and</w:t>
            </w:r>
            <w:r w:rsidR="0018017B">
              <w:t xml:space="preserve"> bring long term empty properties back into use.</w:t>
            </w:r>
            <w:r w:rsidR="00C60879">
              <w:t xml:space="preserve"> Th</w:t>
            </w:r>
            <w:r w:rsidR="00683D1D">
              <w:t xml:space="preserve">e aim </w:t>
            </w:r>
            <w:r w:rsidR="004574AE">
              <w:t>is</w:t>
            </w:r>
            <w:r w:rsidR="00683D1D">
              <w:t xml:space="preserve"> for th</w:t>
            </w:r>
            <w:r w:rsidR="00C60879">
              <w:t xml:space="preserve">ese core and cluster units </w:t>
            </w:r>
            <w:r w:rsidR="00683D1D">
              <w:t>to</w:t>
            </w:r>
            <w:r w:rsidR="00C60879">
              <w:t xml:space="preserve"> be SST tenancies with HF support hubs onsite</w:t>
            </w:r>
            <w:r w:rsidR="001401DA">
              <w:t xml:space="preserve"> – in a similar style to the Fi</w:t>
            </w:r>
            <w:r w:rsidR="005B36CB">
              <w:t>nnish</w:t>
            </w:r>
            <w:r w:rsidR="001401DA">
              <w:t xml:space="preserve"> Model.</w:t>
            </w:r>
            <w:r w:rsidR="004574AE">
              <w:t xml:space="preserve"> The inclusion of the</w:t>
            </w:r>
            <w:r w:rsidR="007C65C2">
              <w:t>se</w:t>
            </w:r>
            <w:r w:rsidR="004574AE">
              <w:t xml:space="preserve"> supported accommodations would bring 15 units into use, responding to the ask of the </w:t>
            </w:r>
            <w:proofErr w:type="spellStart"/>
            <w:r w:rsidR="004574AE">
              <w:t>Arneil</w:t>
            </w:r>
            <w:proofErr w:type="spellEnd"/>
            <w:r w:rsidR="004574AE">
              <w:t xml:space="preserve"> Johnston report. </w:t>
            </w:r>
          </w:p>
          <w:p w14:paraId="4EBD5411" w14:textId="77777777" w:rsidR="00F97168" w:rsidRDefault="00F97168" w:rsidP="002C4715">
            <w:pPr>
              <w:pStyle w:val="ListParagraph"/>
              <w:jc w:val="both"/>
            </w:pPr>
          </w:p>
        </w:tc>
      </w:tr>
    </w:tbl>
    <w:p w14:paraId="6D736E4C" w14:textId="62A183AB" w:rsidR="00687597" w:rsidRDefault="00687597" w:rsidP="002C4715">
      <w:pPr>
        <w:jc w:val="both"/>
      </w:pPr>
    </w:p>
    <w:p w14:paraId="22899B23" w14:textId="3F637797" w:rsidR="00F174BF" w:rsidRDefault="00F144CD">
      <w:pPr>
        <w:pStyle w:val="ListParagraph"/>
        <w:numPr>
          <w:ilvl w:val="0"/>
          <w:numId w:val="10"/>
        </w:numPr>
        <w:jc w:val="both"/>
        <w:rPr>
          <w:b/>
        </w:rPr>
      </w:pPr>
      <w:r w:rsidRPr="00B67368">
        <w:rPr>
          <w:b/>
        </w:rPr>
        <w:t>Homelessness Journey</w:t>
      </w:r>
      <w:r w:rsidR="00AA210C">
        <w:rPr>
          <w:b/>
        </w:rPr>
        <w:t>’s</w:t>
      </w:r>
      <w:r w:rsidRPr="00B67368">
        <w:rPr>
          <w:b/>
        </w:rPr>
        <w:t xml:space="preserve"> </w:t>
      </w:r>
      <w:r w:rsidR="00925FC3">
        <w:rPr>
          <w:b/>
        </w:rPr>
        <w:t xml:space="preserve">– Lived experience and case studies of good practice </w:t>
      </w:r>
    </w:p>
    <w:p w14:paraId="65EFC07B" w14:textId="39B82CB7" w:rsidR="008A6F78" w:rsidRDefault="008A6F78" w:rsidP="002C4715">
      <w:pPr>
        <w:pStyle w:val="ListParagraph"/>
        <w:jc w:val="both"/>
        <w:rPr>
          <w:b/>
        </w:rPr>
      </w:pPr>
    </w:p>
    <w:p w14:paraId="17DF8E9F" w14:textId="68C60917" w:rsidR="00E83426" w:rsidRDefault="008A6F78" w:rsidP="002C4715">
      <w:pPr>
        <w:ind w:left="360" w:hanging="360"/>
        <w:jc w:val="both"/>
        <w:rPr>
          <w:bCs/>
        </w:rPr>
      </w:pPr>
      <w:r w:rsidRPr="008A6F78">
        <w:rPr>
          <w:bCs/>
        </w:rPr>
        <w:t xml:space="preserve">5.1 </w:t>
      </w:r>
      <w:r>
        <w:rPr>
          <w:bCs/>
        </w:rPr>
        <w:tab/>
      </w:r>
      <w:r w:rsidRPr="008A6F78">
        <w:rPr>
          <w:bCs/>
        </w:rPr>
        <w:t xml:space="preserve">As part of </w:t>
      </w:r>
      <w:r w:rsidR="00216F8A">
        <w:rPr>
          <w:bCs/>
        </w:rPr>
        <w:t>the service redesign</w:t>
      </w:r>
      <w:r w:rsidR="0005071C">
        <w:rPr>
          <w:bCs/>
        </w:rPr>
        <w:t>, the service has committed to</w:t>
      </w:r>
      <w:r w:rsidRPr="008A6F78">
        <w:rPr>
          <w:bCs/>
        </w:rPr>
        <w:t xml:space="preserve"> engage more fully with people who have lived experience of homelessness. </w:t>
      </w:r>
      <w:r w:rsidR="00AC0C31">
        <w:rPr>
          <w:bCs/>
        </w:rPr>
        <w:t>Under</w:t>
      </w:r>
      <w:r w:rsidRPr="008A6F78">
        <w:rPr>
          <w:bCs/>
        </w:rPr>
        <w:t xml:space="preserve"> this </w:t>
      </w:r>
      <w:r w:rsidR="00D01539">
        <w:rPr>
          <w:bCs/>
        </w:rPr>
        <w:t xml:space="preserve">activity, </w:t>
      </w:r>
      <w:r w:rsidR="00D01539" w:rsidRPr="008A6F78">
        <w:rPr>
          <w:bCs/>
        </w:rPr>
        <w:t>we</w:t>
      </w:r>
      <w:r w:rsidRPr="008A6F78">
        <w:rPr>
          <w:bCs/>
        </w:rPr>
        <w:t xml:space="preserve"> have </w:t>
      </w:r>
      <w:r w:rsidR="00092F5D">
        <w:rPr>
          <w:bCs/>
        </w:rPr>
        <w:t xml:space="preserve">completed Homelessness Journey interviews with some clients </w:t>
      </w:r>
      <w:r w:rsidRPr="008A6F78">
        <w:rPr>
          <w:bCs/>
        </w:rPr>
        <w:t xml:space="preserve">and are currently working with Homeless Network Scotland </w:t>
      </w:r>
      <w:r w:rsidR="007C65C2">
        <w:rPr>
          <w:bCs/>
        </w:rPr>
        <w:t xml:space="preserve">to provide a workshop to embed the voice of lived experience in our </w:t>
      </w:r>
      <w:r w:rsidR="00EE4609">
        <w:rPr>
          <w:bCs/>
        </w:rPr>
        <w:t>decision-making</w:t>
      </w:r>
      <w:r w:rsidR="007C65C2">
        <w:rPr>
          <w:bCs/>
        </w:rPr>
        <w:t xml:space="preserve"> process and</w:t>
      </w:r>
      <w:r w:rsidR="00E83426">
        <w:rPr>
          <w:bCs/>
        </w:rPr>
        <w:t xml:space="preserve"> support </w:t>
      </w:r>
      <w:r w:rsidR="00CC0DEB">
        <w:rPr>
          <w:bCs/>
        </w:rPr>
        <w:t>clients</w:t>
      </w:r>
      <w:r w:rsidR="00E83426">
        <w:rPr>
          <w:bCs/>
        </w:rPr>
        <w:t xml:space="preserve"> in </w:t>
      </w:r>
      <w:r w:rsidRPr="008A6F78">
        <w:rPr>
          <w:bCs/>
        </w:rPr>
        <w:t>becom</w:t>
      </w:r>
      <w:r w:rsidR="00E83426">
        <w:rPr>
          <w:bCs/>
        </w:rPr>
        <w:t xml:space="preserve">ing directly </w:t>
      </w:r>
      <w:r w:rsidRPr="008A6F78">
        <w:rPr>
          <w:bCs/>
        </w:rPr>
        <w:t xml:space="preserve">involved in the </w:t>
      </w:r>
      <w:r w:rsidR="00E83426">
        <w:rPr>
          <w:bCs/>
        </w:rPr>
        <w:t xml:space="preserve">change programme </w:t>
      </w:r>
      <w:r w:rsidR="0005071C">
        <w:rPr>
          <w:bCs/>
        </w:rPr>
        <w:t>subgroups</w:t>
      </w:r>
      <w:r w:rsidRPr="008A6F78">
        <w:rPr>
          <w:bCs/>
        </w:rPr>
        <w:t xml:space="preserve">. </w:t>
      </w:r>
      <w:r w:rsidR="0005071C">
        <w:rPr>
          <w:bCs/>
        </w:rPr>
        <w:t xml:space="preserve">Inclusion in these subgroups would provide a more direct interface to those who our services impact and allow for continuous influence as to </w:t>
      </w:r>
      <w:r w:rsidR="00D312ED">
        <w:rPr>
          <w:bCs/>
        </w:rPr>
        <w:t xml:space="preserve">what proposals for the new accommodation would work best for people and </w:t>
      </w:r>
      <w:r w:rsidR="0005071C">
        <w:rPr>
          <w:bCs/>
        </w:rPr>
        <w:t xml:space="preserve">how we deliver </w:t>
      </w:r>
      <w:r w:rsidR="00AC0C31">
        <w:rPr>
          <w:bCs/>
        </w:rPr>
        <w:t xml:space="preserve">and refine </w:t>
      </w:r>
      <w:r w:rsidR="0005071C">
        <w:rPr>
          <w:bCs/>
        </w:rPr>
        <w:t>a new model for the service</w:t>
      </w:r>
      <w:r w:rsidR="00D312ED">
        <w:rPr>
          <w:bCs/>
        </w:rPr>
        <w:t xml:space="preserve">. </w:t>
      </w:r>
      <w:r w:rsidR="007C65C2">
        <w:rPr>
          <w:bCs/>
        </w:rPr>
        <w:t xml:space="preserve">In addition, we continually engage with residents through use of both personal and </w:t>
      </w:r>
      <w:r w:rsidR="00CC0DEB">
        <w:rPr>
          <w:bCs/>
        </w:rPr>
        <w:t>communal</w:t>
      </w:r>
      <w:r w:rsidR="007C65C2">
        <w:rPr>
          <w:bCs/>
        </w:rPr>
        <w:t xml:space="preserve"> notice boards and are working closely with Care Opinion, an online service which encourages people to share their opinions of the care they received. We will now be able to receive and respond to feedback via this </w:t>
      </w:r>
      <w:r w:rsidR="00EE4609">
        <w:rPr>
          <w:bCs/>
        </w:rPr>
        <w:t>site and</w:t>
      </w:r>
      <w:r w:rsidR="007C65C2">
        <w:rPr>
          <w:bCs/>
        </w:rPr>
        <w:t xml:space="preserve"> are </w:t>
      </w:r>
      <w:r w:rsidR="00CC0DEB">
        <w:rPr>
          <w:bCs/>
        </w:rPr>
        <w:t xml:space="preserve">actively promoting its use via staff and notice boards throughout the service. </w:t>
      </w:r>
    </w:p>
    <w:p w14:paraId="69982FE3" w14:textId="6A683852" w:rsidR="008A6F78" w:rsidRDefault="00E83426" w:rsidP="002C4715">
      <w:pPr>
        <w:ind w:left="360" w:hanging="360"/>
        <w:jc w:val="both"/>
        <w:rPr>
          <w:bCs/>
        </w:rPr>
      </w:pPr>
      <w:r>
        <w:rPr>
          <w:bCs/>
        </w:rPr>
        <w:t>Case Study</w:t>
      </w:r>
      <w:r w:rsidR="008A6F78" w:rsidRPr="008A6F78">
        <w:rPr>
          <w:bCs/>
        </w:rPr>
        <w:t xml:space="preserve"> </w:t>
      </w:r>
    </w:p>
    <w:tbl>
      <w:tblPr>
        <w:tblStyle w:val="TableGrid"/>
        <w:tblW w:w="0" w:type="auto"/>
        <w:tblInd w:w="421" w:type="dxa"/>
        <w:shd w:val="clear" w:color="auto" w:fill="DEEAF6" w:themeFill="accent1" w:themeFillTint="33"/>
        <w:tblLook w:val="04A0" w:firstRow="1" w:lastRow="0" w:firstColumn="1" w:lastColumn="0" w:noHBand="0" w:noVBand="1"/>
      </w:tblPr>
      <w:tblGrid>
        <w:gridCol w:w="8595"/>
      </w:tblGrid>
      <w:tr w:rsidR="00F174BF" w14:paraId="5B8AD8CD" w14:textId="77777777" w:rsidTr="00526848">
        <w:tc>
          <w:tcPr>
            <w:tcW w:w="8595" w:type="dxa"/>
            <w:shd w:val="clear" w:color="auto" w:fill="DEEAF6" w:themeFill="accent1" w:themeFillTint="33"/>
          </w:tcPr>
          <w:p w14:paraId="1411556D" w14:textId="13739101" w:rsidR="00F174BF" w:rsidRDefault="00F174BF" w:rsidP="002C4715">
            <w:pPr>
              <w:jc w:val="both"/>
            </w:pPr>
            <w:r w:rsidRPr="00B5026A">
              <w:rPr>
                <w:b/>
              </w:rPr>
              <w:t>A</w:t>
            </w:r>
            <w:r>
              <w:t xml:space="preserve"> had been living with a family member following </w:t>
            </w:r>
            <w:r w:rsidR="00C20BC9">
              <w:t>the abandonment of his own</w:t>
            </w:r>
            <w:r>
              <w:t xml:space="preserve"> </w:t>
            </w:r>
            <w:r w:rsidR="00C20BC9">
              <w:t>tenancy but</w:t>
            </w:r>
            <w:r>
              <w:t xml:space="preserve"> had been asked to leave. This man</w:t>
            </w:r>
            <w:r w:rsidR="0066512F">
              <w:t xml:space="preserve"> was</w:t>
            </w:r>
            <w:r>
              <w:t xml:space="preserve"> known to local mental health services and regularly misused alcohol </w:t>
            </w:r>
            <w:r w:rsidR="0066512F">
              <w:t>which caused him to experience seizures</w:t>
            </w:r>
            <w:r>
              <w:t>. Havin</w:t>
            </w:r>
            <w:r w:rsidR="00AD22C2">
              <w:t xml:space="preserve">g </w:t>
            </w:r>
            <w:r>
              <w:t xml:space="preserve">spent time in the hostel setting, </w:t>
            </w:r>
            <w:r w:rsidR="00E83426">
              <w:t>A</w:t>
            </w:r>
            <w:r>
              <w:t xml:space="preserve"> was observed to have problems around door keeping</w:t>
            </w:r>
            <w:r w:rsidR="00AC0C31">
              <w:t xml:space="preserve"> and susceptibility to exploitation which was thought to have been a significant factor leading to his homelessness</w:t>
            </w:r>
            <w:r w:rsidR="00E83426">
              <w:t xml:space="preserve">. He was supported to move to a </w:t>
            </w:r>
            <w:r>
              <w:t>temporary furnished flat in the community</w:t>
            </w:r>
            <w:r w:rsidR="00E83426">
              <w:t xml:space="preserve">.  </w:t>
            </w:r>
          </w:p>
          <w:p w14:paraId="7806E38D" w14:textId="77777777" w:rsidR="00F174BF" w:rsidRDefault="00F174BF" w:rsidP="002C4715">
            <w:pPr>
              <w:jc w:val="both"/>
            </w:pPr>
          </w:p>
          <w:p w14:paraId="3B5497D3" w14:textId="7C9A3F05" w:rsidR="00F174BF" w:rsidRDefault="00F174BF" w:rsidP="002C4715">
            <w:pPr>
              <w:jc w:val="both"/>
            </w:pPr>
            <w:r>
              <w:t>A met the criteria for Housing First and was assisted by the in-house support team following their initiation in November 2022. The team assisted him with budgeting and attending GP appointments</w:t>
            </w:r>
            <w:r w:rsidR="0066512F">
              <w:t xml:space="preserve"> for his mental and physical health issues</w:t>
            </w:r>
            <w:r>
              <w:t xml:space="preserve"> and </w:t>
            </w:r>
            <w:r w:rsidR="0066512F">
              <w:t xml:space="preserve">to attend </w:t>
            </w:r>
            <w:r>
              <w:t xml:space="preserve">community support groups which he would be unlikely to attend on his own due to </w:t>
            </w:r>
            <w:r w:rsidR="00E83426">
              <w:t>his</w:t>
            </w:r>
            <w:r>
              <w:t xml:space="preserve"> struggles with anxiety, particularly in group settings. </w:t>
            </w:r>
          </w:p>
          <w:p w14:paraId="37516061" w14:textId="77777777" w:rsidR="00F174BF" w:rsidRDefault="00F174BF" w:rsidP="002C4715">
            <w:pPr>
              <w:jc w:val="both"/>
            </w:pPr>
          </w:p>
          <w:p w14:paraId="47EB4433" w14:textId="256C4163" w:rsidR="00F174BF" w:rsidRDefault="00F174BF" w:rsidP="002C4715">
            <w:pPr>
              <w:jc w:val="both"/>
            </w:pPr>
            <w:r>
              <w:lastRenderedPageBreak/>
              <w:t>A signed for a Scottish Secure Tenancy for a local housing association in February 2023 and the Resettlement Support Workers assisted him to access a starter pack provided by a local charity and a Community Care Grant.</w:t>
            </w:r>
          </w:p>
          <w:p w14:paraId="27A44600" w14:textId="77777777" w:rsidR="00F174BF" w:rsidRDefault="00F174BF" w:rsidP="002C4715">
            <w:pPr>
              <w:jc w:val="both"/>
            </w:pPr>
          </w:p>
          <w:p w14:paraId="641E2FEF" w14:textId="7E2F500B" w:rsidR="00F174BF" w:rsidRDefault="00F174BF" w:rsidP="002C4715">
            <w:pPr>
              <w:jc w:val="both"/>
            </w:pPr>
            <w:r>
              <w:t xml:space="preserve">As part of the tenancy agreement an Occupational Therapy referral was completed for adaptions in his new tenancy to incorporate a shower which was required in relation </w:t>
            </w:r>
            <w:r w:rsidR="00E83426">
              <w:t>his</w:t>
            </w:r>
            <w:r>
              <w:t xml:space="preserve"> physical health. </w:t>
            </w:r>
          </w:p>
          <w:p w14:paraId="7521DE08" w14:textId="77777777" w:rsidR="00F174BF" w:rsidRDefault="00F174BF" w:rsidP="002C4715">
            <w:pPr>
              <w:jc w:val="both"/>
            </w:pPr>
          </w:p>
          <w:p w14:paraId="2F4FBC90" w14:textId="4035CF7F" w:rsidR="00F174BF" w:rsidRDefault="00F174BF" w:rsidP="002C4715">
            <w:pPr>
              <w:jc w:val="both"/>
            </w:pPr>
            <w:r>
              <w:t>A is now happy in a secure tenancy and continues to receive 7 hours</w:t>
            </w:r>
            <w:r w:rsidR="00E83426">
              <w:t xml:space="preserve"> support</w:t>
            </w:r>
            <w:r>
              <w:t xml:space="preserve"> per week. </w:t>
            </w:r>
          </w:p>
          <w:p w14:paraId="2101AA45" w14:textId="77777777" w:rsidR="00973EF7" w:rsidRDefault="00973EF7" w:rsidP="002C4715">
            <w:pPr>
              <w:jc w:val="both"/>
            </w:pPr>
          </w:p>
          <w:p w14:paraId="57EDD741" w14:textId="52C5AA75" w:rsidR="00F174BF" w:rsidRDefault="00F174BF" w:rsidP="002C4715">
            <w:pPr>
              <w:jc w:val="both"/>
            </w:pPr>
            <w:r>
              <w:t xml:space="preserve">A </w:t>
            </w:r>
            <w:r w:rsidR="00E83426">
              <w:t xml:space="preserve">was able to provide some </w:t>
            </w:r>
            <w:r>
              <w:t xml:space="preserve">perspective on his </w:t>
            </w:r>
            <w:r w:rsidR="00E83426">
              <w:t xml:space="preserve">life through </w:t>
            </w:r>
            <w:r>
              <w:t>homeless</w:t>
            </w:r>
            <w:r w:rsidR="00D31592">
              <w:t xml:space="preserve">ness </w:t>
            </w:r>
            <w:r>
              <w:t xml:space="preserve">and these are some of </w:t>
            </w:r>
            <w:r w:rsidR="00D31592">
              <w:t>his comments</w:t>
            </w:r>
            <w:r>
              <w:t xml:space="preserve">: </w:t>
            </w:r>
          </w:p>
          <w:p w14:paraId="5A67CFAC" w14:textId="77777777" w:rsidR="00B922C5" w:rsidRDefault="00B922C5" w:rsidP="002C4715">
            <w:pPr>
              <w:jc w:val="both"/>
            </w:pPr>
          </w:p>
          <w:p w14:paraId="5B96EB60" w14:textId="77777777" w:rsidR="00F174BF" w:rsidRDefault="00F174BF" w:rsidP="002C4715">
            <w:pPr>
              <w:jc w:val="both"/>
            </w:pPr>
            <w:r>
              <w:t xml:space="preserve">“Never had that help, it made me nervous to begin with” </w:t>
            </w:r>
          </w:p>
          <w:p w14:paraId="47D09F4F" w14:textId="77777777" w:rsidR="00B922C5" w:rsidRDefault="00B922C5" w:rsidP="002C4715">
            <w:pPr>
              <w:jc w:val="both"/>
            </w:pPr>
          </w:p>
          <w:p w14:paraId="297C86F2" w14:textId="52DA54E7" w:rsidR="00F174BF" w:rsidRDefault="00F174BF" w:rsidP="002C4715">
            <w:pPr>
              <w:jc w:val="both"/>
            </w:pPr>
            <w:r>
              <w:t xml:space="preserve">RRSWs were “someone to phone when I needed with no judgement” and </w:t>
            </w:r>
            <w:r w:rsidR="00D31592">
              <w:t xml:space="preserve">he said </w:t>
            </w:r>
            <w:r>
              <w:t xml:space="preserve">this help made a noticeable difference </w:t>
            </w:r>
          </w:p>
          <w:p w14:paraId="2951C550" w14:textId="77777777" w:rsidR="00B922C5" w:rsidRDefault="00B922C5" w:rsidP="002C4715">
            <w:pPr>
              <w:jc w:val="both"/>
            </w:pPr>
          </w:p>
          <w:p w14:paraId="410B47E8" w14:textId="77777777" w:rsidR="00F174BF" w:rsidRDefault="00F174BF" w:rsidP="002C4715">
            <w:pPr>
              <w:jc w:val="both"/>
            </w:pPr>
            <w:r>
              <w:t>“The service saw something in me that I didn’t see in myself. I would do it all over again. It helped me find myself, gave safety, security, advice”</w:t>
            </w:r>
          </w:p>
          <w:p w14:paraId="68D271CF" w14:textId="77777777" w:rsidR="00B922C5" w:rsidRDefault="00B922C5" w:rsidP="002C4715">
            <w:pPr>
              <w:jc w:val="both"/>
            </w:pPr>
          </w:p>
          <w:p w14:paraId="6C650CEE" w14:textId="77777777" w:rsidR="00F174BF" w:rsidRDefault="00F174BF" w:rsidP="002C4715">
            <w:pPr>
              <w:jc w:val="both"/>
            </w:pPr>
            <w:r>
              <w:t>“Forever grateful”</w:t>
            </w:r>
          </w:p>
          <w:p w14:paraId="7BADF487" w14:textId="77777777" w:rsidR="00F174BF" w:rsidRDefault="00F174BF" w:rsidP="002C4715">
            <w:pPr>
              <w:jc w:val="both"/>
              <w:rPr>
                <w:b/>
              </w:rPr>
            </w:pPr>
          </w:p>
        </w:tc>
      </w:tr>
    </w:tbl>
    <w:p w14:paraId="78AC10C1" w14:textId="2A69A834" w:rsidR="00F174BF" w:rsidRDefault="00F174BF" w:rsidP="00F174BF">
      <w:pPr>
        <w:rPr>
          <w:b/>
        </w:rPr>
      </w:pPr>
    </w:p>
    <w:p w14:paraId="32668F95" w14:textId="0BD5C95F" w:rsidR="008A6F78" w:rsidRDefault="008A6F78" w:rsidP="00184DDC">
      <w:pPr>
        <w:ind w:left="720" w:hanging="720"/>
        <w:jc w:val="both"/>
        <w:rPr>
          <w:bCs/>
        </w:rPr>
      </w:pPr>
      <w:r>
        <w:rPr>
          <w:bCs/>
        </w:rPr>
        <w:t>5.2</w:t>
      </w:r>
      <w:r>
        <w:rPr>
          <w:bCs/>
        </w:rPr>
        <w:tab/>
        <w:t xml:space="preserve">The following case study was created to demonstrate the benefit of housing first for complex individuals with a history of offending behaviours that result in custodial sentences. </w:t>
      </w:r>
    </w:p>
    <w:p w14:paraId="239B00AE" w14:textId="77777777" w:rsidR="008A6F78" w:rsidRPr="008A6F78" w:rsidRDefault="008A6F78" w:rsidP="008A6F78">
      <w:pPr>
        <w:ind w:left="720" w:hanging="720"/>
        <w:rPr>
          <w:bCs/>
        </w:rPr>
      </w:pPr>
    </w:p>
    <w:tbl>
      <w:tblPr>
        <w:tblStyle w:val="TableGrid"/>
        <w:tblW w:w="0" w:type="auto"/>
        <w:tblInd w:w="421" w:type="dxa"/>
        <w:shd w:val="clear" w:color="auto" w:fill="DEEAF6" w:themeFill="accent1" w:themeFillTint="33"/>
        <w:tblLook w:val="04A0" w:firstRow="1" w:lastRow="0" w:firstColumn="1" w:lastColumn="0" w:noHBand="0" w:noVBand="1"/>
      </w:tblPr>
      <w:tblGrid>
        <w:gridCol w:w="8595"/>
      </w:tblGrid>
      <w:tr w:rsidR="00F174BF" w14:paraId="4D0AFD23" w14:textId="77777777" w:rsidTr="00526848">
        <w:tc>
          <w:tcPr>
            <w:tcW w:w="8595" w:type="dxa"/>
            <w:shd w:val="clear" w:color="auto" w:fill="DEEAF6" w:themeFill="accent1" w:themeFillTint="33"/>
          </w:tcPr>
          <w:p w14:paraId="7C0BA59C" w14:textId="31CF804E" w:rsidR="00F174BF" w:rsidRDefault="00184DDC" w:rsidP="00184DDC">
            <w:pPr>
              <w:jc w:val="both"/>
            </w:pPr>
            <w:r>
              <w:rPr>
                <w:bCs/>
              </w:rPr>
              <w:t>B</w:t>
            </w:r>
            <w:r w:rsidR="00F174BF">
              <w:t xml:space="preserve"> was one of the first HF clients in Inverclyde. </w:t>
            </w:r>
          </w:p>
          <w:p w14:paraId="65DD4848" w14:textId="77777777" w:rsidR="00F174BF" w:rsidRDefault="00F174BF" w:rsidP="00184DDC">
            <w:pPr>
              <w:jc w:val="both"/>
            </w:pPr>
          </w:p>
          <w:p w14:paraId="57CA9B62" w14:textId="7BB5C469" w:rsidR="00D31592" w:rsidRDefault="00F174BF" w:rsidP="00184DDC">
            <w:pPr>
              <w:jc w:val="both"/>
            </w:pPr>
            <w:r>
              <w:t xml:space="preserve">He was a frequent offender, with drug and alcohol dependency and mental health issues, who had accessed the service repeatedly. </w:t>
            </w:r>
            <w:r w:rsidR="008815C2">
              <w:t>H</w:t>
            </w:r>
            <w:r w:rsidR="00D31592">
              <w:t>e</w:t>
            </w:r>
            <w:r>
              <w:t xml:space="preserve"> secured a permanent offer of housing in May 2021 and with support through the 3</w:t>
            </w:r>
            <w:r w:rsidRPr="00840C80">
              <w:rPr>
                <w:vertAlign w:val="superscript"/>
              </w:rPr>
              <w:t>rd</w:t>
            </w:r>
            <w:r>
              <w:t xml:space="preserve"> sector sustained this tenancy until February of 2022 when he went</w:t>
            </w:r>
            <w:r w:rsidR="00D31592">
              <w:t xml:space="preserve"> back into prison, however he wished to retain his tenancy.  </w:t>
            </w:r>
          </w:p>
          <w:p w14:paraId="34921AB8" w14:textId="77777777" w:rsidR="00D31592" w:rsidRDefault="00D31592" w:rsidP="00184DDC">
            <w:pPr>
              <w:jc w:val="both"/>
            </w:pPr>
          </w:p>
          <w:p w14:paraId="7F35250F" w14:textId="28D7FCD2" w:rsidR="00F174BF" w:rsidRDefault="00D31592" w:rsidP="00184DDC">
            <w:pPr>
              <w:jc w:val="both"/>
            </w:pPr>
            <w:r>
              <w:t xml:space="preserve">The service facilitated the discussion with his </w:t>
            </w:r>
            <w:r w:rsidR="00F174BF">
              <w:t xml:space="preserve">social landlord </w:t>
            </w:r>
            <w:r>
              <w:t xml:space="preserve">who agreed to hold his tenancy.  </w:t>
            </w:r>
            <w:r w:rsidR="008815C2">
              <w:t>However,</w:t>
            </w:r>
            <w:r>
              <w:t xml:space="preserve"> it meant that he </w:t>
            </w:r>
            <w:r w:rsidR="00F174BF">
              <w:t>would accrue</w:t>
            </w:r>
            <w:r>
              <w:t xml:space="preserve"> some</w:t>
            </w:r>
            <w:r w:rsidR="00F174BF">
              <w:t xml:space="preserve"> rent arrears.</w:t>
            </w:r>
          </w:p>
          <w:p w14:paraId="34DBA749" w14:textId="77777777" w:rsidR="00F174BF" w:rsidRDefault="00F174BF" w:rsidP="00184DDC">
            <w:pPr>
              <w:jc w:val="both"/>
            </w:pPr>
          </w:p>
          <w:p w14:paraId="69AD78A7" w14:textId="39648B03" w:rsidR="00F174BF" w:rsidRDefault="00D31592" w:rsidP="00184DDC">
            <w:pPr>
              <w:jc w:val="both"/>
            </w:pPr>
            <w:r>
              <w:t>B</w:t>
            </w:r>
            <w:r w:rsidR="00F174BF">
              <w:t xml:space="preserve"> agreed </w:t>
            </w:r>
            <w:r>
              <w:t xml:space="preserve">and </w:t>
            </w:r>
            <w:r w:rsidR="00F174BF">
              <w:t>on release to set up an arrangement to repa</w:t>
            </w:r>
            <w:r>
              <w:t xml:space="preserve">y his arrears and instead of coming back through </w:t>
            </w:r>
            <w:r w:rsidR="00F174BF" w:rsidRPr="00840C80">
              <w:t>Homelessness Servi</w:t>
            </w:r>
            <w:r w:rsidR="00F174BF">
              <w:t xml:space="preserve">ces again, </w:t>
            </w:r>
            <w:r>
              <w:t>he was able to return to his home, giving him</w:t>
            </w:r>
            <w:r w:rsidR="00F174BF">
              <w:t xml:space="preserve"> much needed stability at</w:t>
            </w:r>
            <w:r w:rsidR="00F174BF" w:rsidRPr="00840C80">
              <w:t xml:space="preserve"> a crucial time. </w:t>
            </w:r>
          </w:p>
          <w:p w14:paraId="3EFA9667" w14:textId="77777777" w:rsidR="00973EF7" w:rsidRDefault="00973EF7" w:rsidP="00184DDC">
            <w:pPr>
              <w:jc w:val="both"/>
            </w:pPr>
          </w:p>
          <w:p w14:paraId="2E68D14C" w14:textId="692B2D4C" w:rsidR="00F174BF" w:rsidRDefault="00F174BF" w:rsidP="00184DDC">
            <w:pPr>
              <w:jc w:val="both"/>
            </w:pPr>
            <w:r>
              <w:t>Telephone contact was made</w:t>
            </w:r>
            <w:r w:rsidR="00D31592">
              <w:t xml:space="preserve"> with B</w:t>
            </w:r>
            <w:r>
              <w:t xml:space="preserve"> prior to</w:t>
            </w:r>
            <w:r w:rsidR="00D31592">
              <w:t xml:space="preserve"> his prison</w:t>
            </w:r>
            <w:r>
              <w:t xml:space="preserve"> release and </w:t>
            </w:r>
            <w:r w:rsidR="00D31592">
              <w:t xml:space="preserve">on </w:t>
            </w:r>
            <w:r>
              <w:t>liberation</w:t>
            </w:r>
            <w:r w:rsidR="00D31592">
              <w:t xml:space="preserve"> he was supported as a </w:t>
            </w:r>
            <w:r>
              <w:t>prevention case</w:t>
            </w:r>
            <w:r w:rsidR="00D31592">
              <w:t xml:space="preserve">, with a </w:t>
            </w:r>
            <w:r>
              <w:t xml:space="preserve">support plan put in place </w:t>
            </w:r>
            <w:r w:rsidR="0005384F">
              <w:t>to</w:t>
            </w:r>
            <w:r>
              <w:t xml:space="preserve"> help him to adapt back into his own tenancy</w:t>
            </w:r>
            <w:r w:rsidR="00D31592">
              <w:t xml:space="preserve">.  His allocated </w:t>
            </w:r>
            <w:r>
              <w:t xml:space="preserve">Rapid Rehousing Support Worker </w:t>
            </w:r>
            <w:r w:rsidR="00D31592">
              <w:t xml:space="preserve">provided </w:t>
            </w:r>
            <w:r>
              <w:t xml:space="preserve">support at 10 hours per week. </w:t>
            </w:r>
          </w:p>
          <w:p w14:paraId="06322F53" w14:textId="77777777" w:rsidR="00F174BF" w:rsidRDefault="00F174BF" w:rsidP="00F174BF"/>
          <w:p w14:paraId="4E4E270B" w14:textId="54EB199E" w:rsidR="00F174BF" w:rsidRDefault="00F174BF" w:rsidP="00184DDC">
            <w:pPr>
              <w:jc w:val="both"/>
            </w:pPr>
            <w:r>
              <w:t>Section 12 money was obtained</w:t>
            </w:r>
            <w:r w:rsidR="00B50A17">
              <w:t xml:space="preserve"> to </w:t>
            </w:r>
            <w:r>
              <w:t>clear</w:t>
            </w:r>
            <w:r w:rsidR="00B50A17">
              <w:t xml:space="preserve"> his</w:t>
            </w:r>
            <w:r>
              <w:t xml:space="preserve"> gas and electricity debts, </w:t>
            </w:r>
            <w:r w:rsidR="00D31592">
              <w:t>and he was assisted to arrange and attend an</w:t>
            </w:r>
            <w:r>
              <w:t xml:space="preserve"> appointment with DWP to resume Universal Credit with an advanced payment arranged.</w:t>
            </w:r>
            <w:r w:rsidR="00D31592">
              <w:t xml:space="preserve"> He </w:t>
            </w:r>
            <w:r w:rsidR="00D31592" w:rsidRPr="00D31592">
              <w:t xml:space="preserve">has been linked in with vulnerable group advice services who are </w:t>
            </w:r>
            <w:r w:rsidR="00D31592" w:rsidRPr="00D31592">
              <w:lastRenderedPageBreak/>
              <w:t>assisting with income maximisation</w:t>
            </w:r>
            <w:r w:rsidR="00D31592">
              <w:t xml:space="preserve"> and</w:t>
            </w:r>
            <w:r w:rsidR="00D31592" w:rsidRPr="00D31592">
              <w:t xml:space="preserve"> helping with</w:t>
            </w:r>
            <w:r w:rsidR="00D31592">
              <w:t xml:space="preserve"> money management </w:t>
            </w:r>
            <w:r w:rsidR="00D31592" w:rsidRPr="00D31592">
              <w:t>to address rent arrears via a payment arrangement.</w:t>
            </w:r>
          </w:p>
          <w:p w14:paraId="5A42B3EA" w14:textId="77777777" w:rsidR="00277C00" w:rsidRDefault="00277C00" w:rsidP="00184DDC">
            <w:pPr>
              <w:jc w:val="both"/>
            </w:pPr>
          </w:p>
          <w:p w14:paraId="6BF5EF52" w14:textId="77777777" w:rsidR="00277C00" w:rsidRDefault="00277C00" w:rsidP="00184DDC">
            <w:pPr>
              <w:jc w:val="both"/>
            </w:pPr>
            <w:r>
              <w:t xml:space="preserve">The service assisted B with GP registration and attending appointments, securing a starter pack, and assisting with basic tenancy skills such as opening his mail, cleaning, and taking out his bins. </w:t>
            </w:r>
          </w:p>
          <w:p w14:paraId="273CAB10" w14:textId="77777777" w:rsidR="00F174BF" w:rsidRDefault="00F174BF" w:rsidP="00184DDC">
            <w:pPr>
              <w:jc w:val="both"/>
            </w:pPr>
          </w:p>
          <w:p w14:paraId="5D7B4506" w14:textId="17D42A42" w:rsidR="00F174BF" w:rsidRDefault="00D31592" w:rsidP="00184DDC">
            <w:pPr>
              <w:jc w:val="both"/>
            </w:pPr>
            <w:r>
              <w:t>Previously</w:t>
            </w:r>
            <w:r w:rsidR="00F174BF">
              <w:t xml:space="preserve"> B </w:t>
            </w:r>
            <w:r w:rsidR="008815C2">
              <w:t>tended to</w:t>
            </w:r>
            <w:r w:rsidR="00F174BF">
              <w:t xml:space="preserve"> </w:t>
            </w:r>
            <w:r w:rsidR="00113B24">
              <w:t xml:space="preserve">lose </w:t>
            </w:r>
            <w:r w:rsidR="00F174BF">
              <w:t>contact</w:t>
            </w:r>
            <w:r w:rsidR="00277C00">
              <w:t xml:space="preserve"> with services</w:t>
            </w:r>
            <w:r w:rsidR="00113B24">
              <w:t xml:space="preserve"> for lengthy periods of time</w:t>
            </w:r>
            <w:r w:rsidR="00277C00">
              <w:t xml:space="preserve">.  He </w:t>
            </w:r>
            <w:r>
              <w:t xml:space="preserve">was supported to obtain a mobile phone, contact </w:t>
            </w:r>
            <w:r w:rsidR="00277C00">
              <w:t xml:space="preserve">is in place with the community pharmacy to ensure his wellbeing and joint </w:t>
            </w:r>
            <w:r>
              <w:t>visits with</w:t>
            </w:r>
            <w:r w:rsidR="00277C00">
              <w:t xml:space="preserve"> his keyworker from</w:t>
            </w:r>
            <w:r>
              <w:t xml:space="preserve"> ADRS</w:t>
            </w:r>
            <w:r w:rsidR="00F174BF">
              <w:t xml:space="preserve"> </w:t>
            </w:r>
            <w:r w:rsidR="00277C00">
              <w:t xml:space="preserve">provides him with the support he needs to continue in his tenancy.  </w:t>
            </w:r>
          </w:p>
          <w:p w14:paraId="7B3A6783" w14:textId="77777777" w:rsidR="00F174BF" w:rsidRDefault="00F174BF" w:rsidP="00184DDC">
            <w:pPr>
              <w:jc w:val="both"/>
            </w:pPr>
          </w:p>
          <w:p w14:paraId="68BE84CB" w14:textId="30DC20EB" w:rsidR="00F174BF" w:rsidRDefault="00F174BF" w:rsidP="00184DDC">
            <w:pPr>
              <w:jc w:val="both"/>
            </w:pPr>
            <w:r>
              <w:t>Without the support</w:t>
            </w:r>
            <w:r w:rsidR="007C7741">
              <w:t xml:space="preserve"> provided to B to sustain his tenancy, the cycle of repeat homelessness would have continued on leaving prison. </w:t>
            </w:r>
            <w:r w:rsidR="00277C00">
              <w:t xml:space="preserve"> </w:t>
            </w:r>
          </w:p>
          <w:p w14:paraId="6FF960FF" w14:textId="77777777" w:rsidR="00F174BF" w:rsidRDefault="00F174BF" w:rsidP="00B5026A"/>
        </w:tc>
      </w:tr>
    </w:tbl>
    <w:p w14:paraId="0737A3B2" w14:textId="77777777" w:rsidR="00E36747" w:rsidRPr="00C21118" w:rsidRDefault="00E36747" w:rsidP="00B5026A"/>
    <w:p w14:paraId="7D32303F" w14:textId="6EAABC51" w:rsidR="0023100C" w:rsidRDefault="00166CA3">
      <w:pPr>
        <w:pStyle w:val="ListParagraph"/>
        <w:numPr>
          <w:ilvl w:val="0"/>
          <w:numId w:val="10"/>
        </w:numPr>
        <w:rPr>
          <w:b/>
        </w:rPr>
      </w:pPr>
      <w:r w:rsidRPr="00B67368">
        <w:rPr>
          <w:b/>
        </w:rPr>
        <w:t>Change Pr</w:t>
      </w:r>
      <w:r w:rsidR="005F348D">
        <w:rPr>
          <w:b/>
        </w:rPr>
        <w:t>o</w:t>
      </w:r>
      <w:r w:rsidRPr="00B67368">
        <w:rPr>
          <w:b/>
        </w:rPr>
        <w:t>gramme</w:t>
      </w:r>
    </w:p>
    <w:p w14:paraId="125172F4" w14:textId="43360180" w:rsidR="007C7741" w:rsidRDefault="008432AF" w:rsidP="006F0C41">
      <w:pPr>
        <w:ind w:left="720" w:hanging="720"/>
        <w:jc w:val="both"/>
      </w:pPr>
      <w:r w:rsidRPr="008432AF">
        <w:t xml:space="preserve">6.1. </w:t>
      </w:r>
      <w:r>
        <w:tab/>
      </w:r>
      <w:r w:rsidR="001063F9" w:rsidRPr="008432AF">
        <w:t>The RRTP implementation ti</w:t>
      </w:r>
      <w:r w:rsidR="0029116D">
        <w:t xml:space="preserve">meframe aligns with </w:t>
      </w:r>
      <w:r w:rsidR="007C7741">
        <w:t>the Change Programme</w:t>
      </w:r>
      <w:r w:rsidR="009D434E" w:rsidRPr="008432AF">
        <w:t xml:space="preserve"> </w:t>
      </w:r>
      <w:r w:rsidR="00F27801" w:rsidRPr="008432AF">
        <w:t>currently underway in Inverclyde.</w:t>
      </w:r>
      <w:r w:rsidR="001063F9" w:rsidRPr="008432AF">
        <w:t xml:space="preserve"> This service redesign </w:t>
      </w:r>
      <w:r w:rsidR="009F4814" w:rsidRPr="008432AF">
        <w:t>intends to achieve a full transformational change of the servic</w:t>
      </w:r>
      <w:r w:rsidR="007C7741">
        <w:t xml:space="preserve">e.  It </w:t>
      </w:r>
      <w:r w:rsidR="001063F9" w:rsidRPr="008432AF">
        <w:t>officially</w:t>
      </w:r>
      <w:r w:rsidR="009F4814" w:rsidRPr="008432AF">
        <w:t xml:space="preserve"> began</w:t>
      </w:r>
      <w:r w:rsidR="00254BEC" w:rsidRPr="008432AF">
        <w:t xml:space="preserve"> in October 2022 </w:t>
      </w:r>
      <w:r w:rsidR="001063F9" w:rsidRPr="008432AF">
        <w:t xml:space="preserve">with </w:t>
      </w:r>
      <w:r w:rsidR="00E0728A" w:rsidRPr="008432AF">
        <w:t>two-year</w:t>
      </w:r>
      <w:r w:rsidR="001063F9" w:rsidRPr="008432AF">
        <w:t xml:space="preserve"> action plan</w:t>
      </w:r>
      <w:r w:rsidR="009D434E" w:rsidRPr="008432AF">
        <w:t>s</w:t>
      </w:r>
      <w:r w:rsidR="00F27801" w:rsidRPr="008432AF">
        <w:t xml:space="preserve"> developed </w:t>
      </w:r>
      <w:r w:rsidR="007C7741">
        <w:t>over</w:t>
      </w:r>
      <w:r>
        <w:t xml:space="preserve"> six</w:t>
      </w:r>
      <w:r w:rsidR="00F27801" w:rsidRPr="008432AF">
        <w:t xml:space="preserve"> sub-groups in targeted areas.</w:t>
      </w:r>
    </w:p>
    <w:p w14:paraId="2F75D0B1" w14:textId="77777777" w:rsidR="007C7741" w:rsidRPr="00B106DA" w:rsidRDefault="007C7741">
      <w:pPr>
        <w:pStyle w:val="ListParagraph"/>
        <w:numPr>
          <w:ilvl w:val="0"/>
          <w:numId w:val="11"/>
        </w:numPr>
        <w:ind w:left="1080"/>
      </w:pPr>
      <w:r w:rsidRPr="00B106DA">
        <w:t>Communication and Engagement</w:t>
      </w:r>
    </w:p>
    <w:p w14:paraId="55D3D52A" w14:textId="77777777" w:rsidR="007C7741" w:rsidRPr="00B106DA" w:rsidRDefault="007C7741">
      <w:pPr>
        <w:pStyle w:val="ListParagraph"/>
        <w:numPr>
          <w:ilvl w:val="0"/>
          <w:numId w:val="11"/>
        </w:numPr>
        <w:ind w:left="1080"/>
      </w:pPr>
      <w:r w:rsidRPr="00B106DA">
        <w:t xml:space="preserve">Estates and Accommodation </w:t>
      </w:r>
    </w:p>
    <w:p w14:paraId="3AA5954F" w14:textId="77777777" w:rsidR="007C7741" w:rsidRPr="00B106DA" w:rsidRDefault="007C7741">
      <w:pPr>
        <w:pStyle w:val="ListParagraph"/>
        <w:numPr>
          <w:ilvl w:val="0"/>
          <w:numId w:val="11"/>
        </w:numPr>
        <w:ind w:left="1080"/>
      </w:pPr>
      <w:r w:rsidRPr="00B106DA">
        <w:t>Workforce</w:t>
      </w:r>
    </w:p>
    <w:p w14:paraId="7D5DC47F" w14:textId="77777777" w:rsidR="007C7741" w:rsidRPr="00B106DA" w:rsidRDefault="007C7741">
      <w:pPr>
        <w:pStyle w:val="ListParagraph"/>
        <w:numPr>
          <w:ilvl w:val="0"/>
          <w:numId w:val="11"/>
        </w:numPr>
        <w:ind w:left="1080"/>
      </w:pPr>
      <w:r w:rsidRPr="00B106DA">
        <w:t>Finance</w:t>
      </w:r>
    </w:p>
    <w:p w14:paraId="1148434F" w14:textId="77777777" w:rsidR="007C7741" w:rsidRPr="00B106DA" w:rsidRDefault="007C7741">
      <w:pPr>
        <w:pStyle w:val="ListParagraph"/>
        <w:numPr>
          <w:ilvl w:val="0"/>
          <w:numId w:val="11"/>
        </w:numPr>
        <w:ind w:left="1080"/>
      </w:pPr>
      <w:r w:rsidRPr="00B106DA">
        <w:t>Information and Data</w:t>
      </w:r>
    </w:p>
    <w:p w14:paraId="1C4AFB41" w14:textId="77777777" w:rsidR="007C7741" w:rsidRPr="00B106DA" w:rsidRDefault="007C7741">
      <w:pPr>
        <w:pStyle w:val="ListParagraph"/>
        <w:numPr>
          <w:ilvl w:val="0"/>
          <w:numId w:val="11"/>
        </w:numPr>
        <w:ind w:left="1080"/>
      </w:pPr>
      <w:r w:rsidRPr="00B106DA">
        <w:t>Service Model</w:t>
      </w:r>
    </w:p>
    <w:p w14:paraId="0971E5AA" w14:textId="0395A005" w:rsidR="00D413AB" w:rsidRPr="008432AF" w:rsidRDefault="00F27801" w:rsidP="00BB5D2B">
      <w:pPr>
        <w:ind w:left="1440" w:hanging="720"/>
        <w:jc w:val="both"/>
      </w:pPr>
      <w:r w:rsidRPr="008432AF">
        <w:t xml:space="preserve"> A new service structure and accommodation model is being c</w:t>
      </w:r>
      <w:r w:rsidR="00E10FFE" w:rsidRPr="008432AF">
        <w:t>urated through the programme</w:t>
      </w:r>
      <w:r w:rsidRPr="008432AF">
        <w:t xml:space="preserve">. </w:t>
      </w:r>
    </w:p>
    <w:p w14:paraId="7AC55B15" w14:textId="54F1E15A" w:rsidR="004C6572" w:rsidRDefault="008432AF" w:rsidP="00184DDC">
      <w:pPr>
        <w:ind w:left="720" w:hanging="720"/>
        <w:jc w:val="both"/>
        <w:rPr>
          <w:rFonts w:cstheme="minorHAnsi"/>
        </w:rPr>
      </w:pPr>
      <w:r>
        <w:rPr>
          <w:rFonts w:cstheme="minorHAnsi"/>
        </w:rPr>
        <w:t xml:space="preserve">6.2 </w:t>
      </w:r>
      <w:r>
        <w:rPr>
          <w:rFonts w:cstheme="minorHAnsi"/>
        </w:rPr>
        <w:tab/>
      </w:r>
      <w:r w:rsidR="007C7741">
        <w:rPr>
          <w:rFonts w:cstheme="minorHAnsi"/>
        </w:rPr>
        <w:t>R</w:t>
      </w:r>
      <w:r w:rsidR="00196F0B">
        <w:rPr>
          <w:rFonts w:cstheme="minorHAnsi"/>
        </w:rPr>
        <w:t xml:space="preserve">ecruitment </w:t>
      </w:r>
      <w:r w:rsidR="007C7741">
        <w:rPr>
          <w:rFonts w:cstheme="minorHAnsi"/>
        </w:rPr>
        <w:t xml:space="preserve">of a </w:t>
      </w:r>
      <w:r w:rsidR="00196F0B">
        <w:rPr>
          <w:rFonts w:cstheme="minorHAnsi"/>
        </w:rPr>
        <w:t xml:space="preserve">Change Lead, Well-being </w:t>
      </w:r>
      <w:r w:rsidR="00750C7F">
        <w:rPr>
          <w:rFonts w:cstheme="minorHAnsi"/>
        </w:rPr>
        <w:t>Co-ordinator,</w:t>
      </w:r>
      <w:r w:rsidR="00196F0B">
        <w:rPr>
          <w:rFonts w:cstheme="minorHAnsi"/>
        </w:rPr>
        <w:t xml:space="preserve"> and 8 Rapid Rehousing Support Workers</w:t>
      </w:r>
      <w:r w:rsidR="007C7741">
        <w:rPr>
          <w:rFonts w:cstheme="minorHAnsi"/>
        </w:rPr>
        <w:t xml:space="preserve"> have created capacity within the system to deliver on the programme</w:t>
      </w:r>
      <w:r w:rsidR="00196F0B">
        <w:rPr>
          <w:rFonts w:cstheme="minorHAnsi"/>
        </w:rPr>
        <w:t xml:space="preserve">. </w:t>
      </w:r>
      <w:r>
        <w:rPr>
          <w:rFonts w:cstheme="minorHAnsi"/>
        </w:rPr>
        <w:tab/>
      </w:r>
      <w:r w:rsidR="00E10FFE">
        <w:rPr>
          <w:rFonts w:cstheme="minorHAnsi"/>
        </w:rPr>
        <w:t xml:space="preserve"> </w:t>
      </w:r>
    </w:p>
    <w:p w14:paraId="00441DC2" w14:textId="7FB4097E" w:rsidR="00B919D2" w:rsidRDefault="008432AF" w:rsidP="00184DDC">
      <w:pPr>
        <w:jc w:val="both"/>
        <w:rPr>
          <w:rFonts w:cstheme="minorHAnsi"/>
        </w:rPr>
      </w:pPr>
      <w:r>
        <w:rPr>
          <w:rFonts w:cstheme="minorHAnsi"/>
        </w:rPr>
        <w:t>6.</w:t>
      </w:r>
      <w:r w:rsidR="007C7741">
        <w:rPr>
          <w:rFonts w:cstheme="minorHAnsi"/>
        </w:rPr>
        <w:t>3</w:t>
      </w:r>
      <w:r>
        <w:rPr>
          <w:rFonts w:cstheme="minorHAnsi"/>
        </w:rPr>
        <w:t xml:space="preserve"> </w:t>
      </w:r>
      <w:r>
        <w:rPr>
          <w:rFonts w:cstheme="minorHAnsi"/>
        </w:rPr>
        <w:tab/>
      </w:r>
      <w:r w:rsidR="00B919D2">
        <w:rPr>
          <w:rFonts w:cstheme="minorHAnsi"/>
        </w:rPr>
        <w:t>Four high level objectives were identified in the initial stages of the Programme as follows:</w:t>
      </w:r>
    </w:p>
    <w:p w14:paraId="503648F5" w14:textId="77EC3A16" w:rsidR="00B919D2" w:rsidRPr="00B919D2" w:rsidRDefault="00B919D2">
      <w:pPr>
        <w:pStyle w:val="ListParagraph"/>
        <w:numPr>
          <w:ilvl w:val="0"/>
          <w:numId w:val="7"/>
        </w:numPr>
        <w:ind w:left="1080"/>
        <w:jc w:val="both"/>
        <w:rPr>
          <w:rFonts w:cstheme="minorHAnsi"/>
        </w:rPr>
      </w:pPr>
      <w:r w:rsidRPr="00B919D2">
        <w:rPr>
          <w:rFonts w:cstheme="minorHAnsi"/>
        </w:rPr>
        <w:t xml:space="preserve">Embed a culture amongst service users and staff focused on identifying and achieving personal </w:t>
      </w:r>
      <w:r w:rsidR="00750C7F" w:rsidRPr="00B919D2">
        <w:rPr>
          <w:rFonts w:cstheme="minorHAnsi"/>
        </w:rPr>
        <w:t>outcomes.</w:t>
      </w:r>
    </w:p>
    <w:p w14:paraId="4D99C2A9" w14:textId="2F8B01CF" w:rsidR="00B919D2" w:rsidRPr="00B919D2" w:rsidRDefault="00B919D2">
      <w:pPr>
        <w:pStyle w:val="ListParagraph"/>
        <w:numPr>
          <w:ilvl w:val="0"/>
          <w:numId w:val="7"/>
        </w:numPr>
        <w:ind w:left="1080"/>
        <w:jc w:val="both"/>
        <w:rPr>
          <w:rFonts w:cstheme="minorHAnsi"/>
        </w:rPr>
      </w:pPr>
      <w:r w:rsidRPr="00B919D2">
        <w:rPr>
          <w:rFonts w:cstheme="minorHAnsi"/>
        </w:rPr>
        <w:t xml:space="preserve">Deliver more efficient ways of working, ensuring a sustainable service for the future and contributing to savings and efficiency </w:t>
      </w:r>
      <w:r w:rsidR="00750C7F" w:rsidRPr="00B919D2">
        <w:rPr>
          <w:rFonts w:cstheme="minorHAnsi"/>
        </w:rPr>
        <w:t>targets.</w:t>
      </w:r>
    </w:p>
    <w:p w14:paraId="1ECDA596" w14:textId="3046B9D0" w:rsidR="00B919D2" w:rsidRPr="00B919D2" w:rsidRDefault="00B919D2">
      <w:pPr>
        <w:pStyle w:val="ListParagraph"/>
        <w:numPr>
          <w:ilvl w:val="0"/>
          <w:numId w:val="7"/>
        </w:numPr>
        <w:ind w:left="1080"/>
        <w:jc w:val="both"/>
        <w:rPr>
          <w:rFonts w:cstheme="minorHAnsi"/>
        </w:rPr>
      </w:pPr>
      <w:r w:rsidRPr="00B919D2">
        <w:rPr>
          <w:rFonts w:cstheme="minorHAnsi"/>
        </w:rPr>
        <w:t xml:space="preserve">Create a Rapid Rehousing Support Service to specifically target intensive support to those who present as repeatedly homeless or entrenched in temporary accommodation for significantly lengthy periods of </w:t>
      </w:r>
      <w:r w:rsidR="00750C7F" w:rsidRPr="00B919D2">
        <w:rPr>
          <w:rFonts w:cstheme="minorHAnsi"/>
        </w:rPr>
        <w:t>time.</w:t>
      </w:r>
    </w:p>
    <w:p w14:paraId="52563D50" w14:textId="77777777" w:rsidR="00B919D2" w:rsidRDefault="00B919D2">
      <w:pPr>
        <w:pStyle w:val="ListParagraph"/>
        <w:numPr>
          <w:ilvl w:val="0"/>
          <w:numId w:val="7"/>
        </w:numPr>
        <w:ind w:left="1080"/>
        <w:jc w:val="both"/>
        <w:rPr>
          <w:rFonts w:cstheme="minorHAnsi"/>
        </w:rPr>
      </w:pPr>
      <w:r w:rsidRPr="00B919D2">
        <w:rPr>
          <w:rFonts w:cstheme="minorHAnsi"/>
        </w:rPr>
        <w:t xml:space="preserve">Deliver an options appraisal and business case for a modernised temporary accommodation estate and future housing options to meet the needs of service users, with agility to cope with pressure points when there is an increase in presentations. </w:t>
      </w:r>
    </w:p>
    <w:p w14:paraId="78BD7B4F" w14:textId="604E9A0F" w:rsidR="00196F0B" w:rsidRDefault="008432AF" w:rsidP="008432AF">
      <w:pPr>
        <w:ind w:left="720" w:hanging="720"/>
        <w:jc w:val="both"/>
        <w:rPr>
          <w:rFonts w:cstheme="minorHAnsi"/>
        </w:rPr>
      </w:pPr>
      <w:r>
        <w:rPr>
          <w:rFonts w:cstheme="minorHAnsi"/>
        </w:rPr>
        <w:t>6.</w:t>
      </w:r>
      <w:r w:rsidR="007C7741">
        <w:rPr>
          <w:rFonts w:cstheme="minorHAnsi"/>
        </w:rPr>
        <w:t>4</w:t>
      </w:r>
      <w:r>
        <w:rPr>
          <w:rFonts w:cstheme="minorHAnsi"/>
        </w:rPr>
        <w:t xml:space="preserve"> </w:t>
      </w:r>
      <w:r>
        <w:rPr>
          <w:rFonts w:cstheme="minorHAnsi"/>
        </w:rPr>
        <w:tab/>
      </w:r>
      <w:r w:rsidR="00B919D2">
        <w:rPr>
          <w:rFonts w:cstheme="minorHAnsi"/>
        </w:rPr>
        <w:t>All activity is reported to the Programme Board, which i</w:t>
      </w:r>
      <w:r w:rsidR="0084343A">
        <w:rPr>
          <w:rFonts w:cstheme="minorHAnsi"/>
        </w:rPr>
        <w:t xml:space="preserve">ncorporates representation from </w:t>
      </w:r>
      <w:r w:rsidR="00B919D2">
        <w:rPr>
          <w:rFonts w:cstheme="minorHAnsi"/>
        </w:rPr>
        <w:t xml:space="preserve">partnership </w:t>
      </w:r>
      <w:r w:rsidR="00E0728A">
        <w:rPr>
          <w:rFonts w:cstheme="minorHAnsi"/>
        </w:rPr>
        <w:t>agencie</w:t>
      </w:r>
      <w:r w:rsidR="00B919D2">
        <w:rPr>
          <w:rFonts w:cstheme="minorHAnsi"/>
        </w:rPr>
        <w:t xml:space="preserve">s such as Housing Strategy, Finance, RSLs, </w:t>
      </w:r>
      <w:r w:rsidR="007C7741">
        <w:rPr>
          <w:rFonts w:cstheme="minorHAnsi"/>
        </w:rPr>
        <w:t>staff side</w:t>
      </w:r>
      <w:r w:rsidR="00B919D2">
        <w:rPr>
          <w:rFonts w:cstheme="minorHAnsi"/>
        </w:rPr>
        <w:t xml:space="preserve"> and Human Resources </w:t>
      </w:r>
      <w:r w:rsidR="00B919D2">
        <w:rPr>
          <w:rFonts w:cstheme="minorHAnsi"/>
        </w:rPr>
        <w:lastRenderedPageBreak/>
        <w:t xml:space="preserve">etc. The Board in turn reports to </w:t>
      </w:r>
      <w:r w:rsidR="00B919D2" w:rsidRPr="00B919D2">
        <w:rPr>
          <w:rFonts w:cstheme="minorHAnsi"/>
        </w:rPr>
        <w:t xml:space="preserve">the HSCP </w:t>
      </w:r>
      <w:r w:rsidR="007C7741">
        <w:rPr>
          <w:rFonts w:cstheme="minorHAnsi"/>
        </w:rPr>
        <w:t xml:space="preserve">Strategic Planning Group, </w:t>
      </w:r>
      <w:r w:rsidR="00B919D2" w:rsidRPr="00B919D2">
        <w:rPr>
          <w:rFonts w:cstheme="minorHAnsi"/>
        </w:rPr>
        <w:t xml:space="preserve">Transformation Board, Health and Social Care </w:t>
      </w:r>
      <w:r w:rsidR="007C7741">
        <w:rPr>
          <w:rFonts w:cstheme="minorHAnsi"/>
        </w:rPr>
        <w:t>Scrutiny Panel</w:t>
      </w:r>
      <w:r w:rsidR="00B919D2">
        <w:rPr>
          <w:rFonts w:cstheme="minorHAnsi"/>
        </w:rPr>
        <w:t>, Integrated Joint Board and</w:t>
      </w:r>
      <w:r w:rsidR="00B919D2" w:rsidRPr="00B919D2">
        <w:rPr>
          <w:rFonts w:cstheme="minorHAnsi"/>
        </w:rPr>
        <w:t xml:space="preserve"> Staff Partnership Foru</w:t>
      </w:r>
      <w:r w:rsidR="00B919D2">
        <w:rPr>
          <w:rFonts w:cstheme="minorHAnsi"/>
        </w:rPr>
        <w:t xml:space="preserve">m. </w:t>
      </w:r>
    </w:p>
    <w:p w14:paraId="18307891" w14:textId="678E7782" w:rsidR="00F144CD" w:rsidRDefault="008432AF" w:rsidP="008432AF">
      <w:pPr>
        <w:ind w:left="720" w:hanging="720"/>
        <w:jc w:val="both"/>
        <w:rPr>
          <w:rFonts w:cstheme="minorHAnsi"/>
        </w:rPr>
      </w:pPr>
      <w:r>
        <w:rPr>
          <w:rFonts w:cstheme="minorHAnsi"/>
        </w:rPr>
        <w:t>6.</w:t>
      </w:r>
      <w:r w:rsidR="009A1862">
        <w:rPr>
          <w:rFonts w:cstheme="minorHAnsi"/>
        </w:rPr>
        <w:t>5</w:t>
      </w:r>
      <w:r>
        <w:rPr>
          <w:rFonts w:cstheme="minorHAnsi"/>
        </w:rPr>
        <w:t xml:space="preserve"> </w:t>
      </w:r>
      <w:r>
        <w:rPr>
          <w:rFonts w:cstheme="minorHAnsi"/>
        </w:rPr>
        <w:tab/>
      </w:r>
      <w:r w:rsidR="00F144CD">
        <w:rPr>
          <w:rFonts w:cstheme="minorHAnsi"/>
        </w:rPr>
        <w:t xml:space="preserve">Through the change programme </w:t>
      </w:r>
      <w:r w:rsidR="00B106DA">
        <w:rPr>
          <w:rFonts w:cstheme="minorHAnsi"/>
        </w:rPr>
        <w:t xml:space="preserve">an audit has been undertaken to ensure the provision of focussed </w:t>
      </w:r>
      <w:r w:rsidR="00F144CD">
        <w:rPr>
          <w:rFonts w:cstheme="minorHAnsi"/>
        </w:rPr>
        <w:t xml:space="preserve">staff training in areas such as trauma enhanced practice, use of recording systems, suicide intervention and prevention etc. </w:t>
      </w:r>
      <w:r w:rsidR="00F27801">
        <w:rPr>
          <w:rFonts w:cstheme="minorHAnsi"/>
        </w:rPr>
        <w:t xml:space="preserve">Service Development Sessions are underway with the intention of regular and continuous communications with staff on homelessness issues i.e. </w:t>
      </w:r>
      <w:r w:rsidR="00F27801" w:rsidRPr="002A0945">
        <w:rPr>
          <w:rFonts w:cstheme="minorHAnsi"/>
        </w:rPr>
        <w:t>pre</w:t>
      </w:r>
      <w:r w:rsidR="00F27801">
        <w:rPr>
          <w:rFonts w:cstheme="minorHAnsi"/>
        </w:rPr>
        <w:t xml:space="preserve">vention methods, opportunities </w:t>
      </w:r>
      <w:r w:rsidR="00F27801" w:rsidRPr="002A0945">
        <w:rPr>
          <w:rFonts w:cstheme="minorHAnsi"/>
        </w:rPr>
        <w:t>for further training</w:t>
      </w:r>
      <w:r w:rsidR="00B106DA">
        <w:rPr>
          <w:rFonts w:cstheme="minorHAnsi"/>
        </w:rPr>
        <w:t xml:space="preserve"> and self-development on the</w:t>
      </w:r>
      <w:r w:rsidR="00F27801" w:rsidRPr="002A0945">
        <w:rPr>
          <w:rFonts w:cstheme="minorHAnsi"/>
        </w:rPr>
        <w:t xml:space="preserve"> national homelessness</w:t>
      </w:r>
      <w:r w:rsidR="00B106DA">
        <w:rPr>
          <w:rFonts w:cstheme="minorHAnsi"/>
        </w:rPr>
        <w:t xml:space="preserve"> agenda</w:t>
      </w:r>
      <w:r w:rsidR="00F27801" w:rsidRPr="002A0945">
        <w:rPr>
          <w:rFonts w:cstheme="minorHAnsi"/>
        </w:rPr>
        <w:t xml:space="preserve"> and </w:t>
      </w:r>
      <w:r w:rsidR="00B106DA">
        <w:rPr>
          <w:rFonts w:cstheme="minorHAnsi"/>
        </w:rPr>
        <w:t xml:space="preserve">current </w:t>
      </w:r>
      <w:r w:rsidR="00F27801" w:rsidRPr="002A0945">
        <w:rPr>
          <w:rFonts w:cstheme="minorHAnsi"/>
        </w:rPr>
        <w:t>housing</w:t>
      </w:r>
      <w:r w:rsidR="00B106DA">
        <w:rPr>
          <w:rFonts w:cstheme="minorHAnsi"/>
        </w:rPr>
        <w:t xml:space="preserve"> news and encouragement to be aware of </w:t>
      </w:r>
      <w:r w:rsidR="00F27801" w:rsidRPr="002A0945">
        <w:rPr>
          <w:rFonts w:cstheme="minorHAnsi"/>
        </w:rPr>
        <w:t>changes to leg</w:t>
      </w:r>
      <w:r w:rsidR="00B106DA">
        <w:rPr>
          <w:rFonts w:cstheme="minorHAnsi"/>
        </w:rPr>
        <w:t xml:space="preserve">islation. This </w:t>
      </w:r>
      <w:r w:rsidR="007C7741">
        <w:rPr>
          <w:rFonts w:cstheme="minorHAnsi"/>
        </w:rPr>
        <w:t>keeps staff u</w:t>
      </w:r>
      <w:r w:rsidR="00BB5D2B">
        <w:rPr>
          <w:rFonts w:cstheme="minorHAnsi"/>
        </w:rPr>
        <w:t>p</w:t>
      </w:r>
      <w:r w:rsidR="007C7741">
        <w:rPr>
          <w:rFonts w:cstheme="minorHAnsi"/>
        </w:rPr>
        <w:t xml:space="preserve"> to date </w:t>
      </w:r>
      <w:r w:rsidR="00F27801" w:rsidRPr="002A0945">
        <w:rPr>
          <w:rFonts w:cstheme="minorHAnsi"/>
        </w:rPr>
        <w:t xml:space="preserve">within the sector and </w:t>
      </w:r>
      <w:r w:rsidR="007C7741">
        <w:rPr>
          <w:rFonts w:cstheme="minorHAnsi"/>
        </w:rPr>
        <w:t xml:space="preserve">ensures accurate, </w:t>
      </w:r>
      <w:r w:rsidR="00F27801" w:rsidRPr="002A0945">
        <w:rPr>
          <w:rFonts w:cstheme="minorHAnsi"/>
        </w:rPr>
        <w:t>confident provi</w:t>
      </w:r>
      <w:r w:rsidR="007C7741">
        <w:rPr>
          <w:rFonts w:cstheme="minorHAnsi"/>
        </w:rPr>
        <w:t xml:space="preserve">sion of </w:t>
      </w:r>
      <w:r w:rsidR="00F27801">
        <w:rPr>
          <w:rFonts w:cstheme="minorHAnsi"/>
        </w:rPr>
        <w:t xml:space="preserve">housing options </w:t>
      </w:r>
      <w:r w:rsidR="00935463">
        <w:rPr>
          <w:rFonts w:cstheme="minorHAnsi"/>
        </w:rPr>
        <w:t>advice.</w:t>
      </w:r>
    </w:p>
    <w:p w14:paraId="168E17B0" w14:textId="34E57890" w:rsidR="00DD597C" w:rsidRDefault="008432AF" w:rsidP="00184DDC">
      <w:pPr>
        <w:ind w:left="720" w:hanging="720"/>
        <w:jc w:val="both"/>
      </w:pPr>
      <w:r>
        <w:t>6.</w:t>
      </w:r>
      <w:r w:rsidR="009A1862">
        <w:t>6</w:t>
      </w:r>
      <w:r>
        <w:tab/>
      </w:r>
      <w:r w:rsidR="008C77EB">
        <w:t>A</w:t>
      </w:r>
      <w:r w:rsidR="007C7741">
        <w:t xml:space="preserve"> staff survey was conducted based on key </w:t>
      </w:r>
      <w:r w:rsidR="008C77EB">
        <w:t xml:space="preserve">areas relative to </w:t>
      </w:r>
      <w:r w:rsidR="00B106DA">
        <w:t xml:space="preserve">staff </w:t>
      </w:r>
      <w:r w:rsidR="008C77EB">
        <w:t>morale</w:t>
      </w:r>
      <w:r w:rsidR="007C7741">
        <w:t xml:space="preserve"> t</w:t>
      </w:r>
      <w:r w:rsidR="008C77EB">
        <w:t>o obtain a baseline measurement</w:t>
      </w:r>
      <w:r w:rsidR="007C7741">
        <w:t xml:space="preserve"> at this stage, some key actions were implemented as result of the </w:t>
      </w:r>
      <w:r w:rsidR="00184DDC">
        <w:t>findings,</w:t>
      </w:r>
      <w:r w:rsidR="007C7741">
        <w:t xml:space="preserve"> and</w:t>
      </w:r>
      <w:r w:rsidR="008C77EB">
        <w:t xml:space="preserve"> this will be carried out at intervals during and</w:t>
      </w:r>
      <w:r w:rsidR="009A1862">
        <w:t xml:space="preserve"> on </w:t>
      </w:r>
      <w:r w:rsidR="008C77EB">
        <w:t xml:space="preserve">completion of the redesign programme. </w:t>
      </w:r>
    </w:p>
    <w:p w14:paraId="642F7993" w14:textId="0D498F6F" w:rsidR="00BE1E11" w:rsidRDefault="00BE1E11" w:rsidP="008432AF">
      <w:pPr>
        <w:ind w:left="360"/>
        <w:rPr>
          <w:color w:val="FF0000"/>
        </w:rPr>
      </w:pPr>
    </w:p>
    <w:p w14:paraId="0C57F6EA" w14:textId="77777777" w:rsidR="00693837" w:rsidRDefault="00BE1E11" w:rsidP="008432AF">
      <w:pPr>
        <w:ind w:left="360"/>
        <w:rPr>
          <w:color w:val="FF0000"/>
        </w:rPr>
      </w:pPr>
      <w:r>
        <w:rPr>
          <w:noProof/>
          <w:lang w:eastAsia="en-GB"/>
        </w:rPr>
        <w:drawing>
          <wp:anchor distT="0" distB="0" distL="114300" distR="114300" simplePos="0" relativeHeight="251663360" behindDoc="0" locked="0" layoutInCell="1" allowOverlap="1" wp14:anchorId="401E2379" wp14:editId="0CDC45D5">
            <wp:simplePos x="0" y="0"/>
            <wp:positionH relativeFrom="column">
              <wp:posOffset>416335</wp:posOffset>
            </wp:positionH>
            <wp:positionV relativeFrom="paragraph">
              <wp:posOffset>-1270</wp:posOffset>
            </wp:positionV>
            <wp:extent cx="5205046" cy="3242603"/>
            <wp:effectExtent l="0" t="0" r="15240" b="1524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5A821D0" w14:textId="77777777" w:rsidR="00BE1E11" w:rsidRDefault="00BE1E11" w:rsidP="008432AF">
      <w:pPr>
        <w:ind w:left="720" w:hanging="720"/>
        <w:rPr>
          <w:color w:val="FF0000"/>
        </w:rPr>
      </w:pPr>
    </w:p>
    <w:p w14:paraId="3E25E1E2" w14:textId="77777777" w:rsidR="00BE1E11" w:rsidRDefault="00BE1E11" w:rsidP="008432AF">
      <w:pPr>
        <w:ind w:left="720" w:hanging="720"/>
        <w:rPr>
          <w:color w:val="FF0000"/>
        </w:rPr>
      </w:pPr>
    </w:p>
    <w:p w14:paraId="4E577337" w14:textId="77777777" w:rsidR="00BE1E11" w:rsidRDefault="00BE1E11" w:rsidP="008432AF">
      <w:pPr>
        <w:ind w:left="720" w:hanging="720"/>
        <w:rPr>
          <w:color w:val="FF0000"/>
        </w:rPr>
      </w:pPr>
    </w:p>
    <w:p w14:paraId="0BEBF633" w14:textId="77777777" w:rsidR="00BE1E11" w:rsidRDefault="00BE1E11" w:rsidP="008432AF">
      <w:pPr>
        <w:ind w:left="720" w:hanging="720"/>
        <w:rPr>
          <w:color w:val="FF0000"/>
        </w:rPr>
      </w:pPr>
    </w:p>
    <w:p w14:paraId="7650C79C" w14:textId="77777777" w:rsidR="00BE1E11" w:rsidRDefault="00BE1E11" w:rsidP="008432AF">
      <w:pPr>
        <w:ind w:left="720" w:hanging="720"/>
        <w:rPr>
          <w:color w:val="FF0000"/>
        </w:rPr>
      </w:pPr>
    </w:p>
    <w:p w14:paraId="140697A6" w14:textId="77777777" w:rsidR="00BE1E11" w:rsidRDefault="00BE1E11" w:rsidP="008432AF">
      <w:pPr>
        <w:ind w:left="720" w:hanging="720"/>
        <w:rPr>
          <w:color w:val="FF0000"/>
        </w:rPr>
      </w:pPr>
    </w:p>
    <w:p w14:paraId="5BF4650A" w14:textId="77777777" w:rsidR="00BE1E11" w:rsidRDefault="00BE1E11" w:rsidP="008432AF">
      <w:pPr>
        <w:ind w:left="720" w:hanging="720"/>
        <w:rPr>
          <w:color w:val="FF0000"/>
        </w:rPr>
      </w:pPr>
    </w:p>
    <w:p w14:paraId="49D51124" w14:textId="77777777" w:rsidR="00BE1E11" w:rsidRDefault="00BE1E11" w:rsidP="008432AF">
      <w:pPr>
        <w:ind w:left="720" w:hanging="720"/>
        <w:rPr>
          <w:color w:val="FF0000"/>
        </w:rPr>
      </w:pPr>
    </w:p>
    <w:p w14:paraId="0DFF6A1F" w14:textId="77777777" w:rsidR="00BE1E11" w:rsidRDefault="00BE1E11" w:rsidP="008432AF">
      <w:pPr>
        <w:ind w:left="720" w:hanging="720"/>
        <w:rPr>
          <w:color w:val="FF0000"/>
        </w:rPr>
      </w:pPr>
    </w:p>
    <w:p w14:paraId="1A96EB26" w14:textId="77777777" w:rsidR="00BE1E11" w:rsidRDefault="00BE1E11" w:rsidP="008432AF">
      <w:pPr>
        <w:ind w:left="720" w:hanging="720"/>
        <w:rPr>
          <w:color w:val="FF0000"/>
        </w:rPr>
      </w:pPr>
    </w:p>
    <w:p w14:paraId="2AC7DA03" w14:textId="77777777" w:rsidR="00BE1E11" w:rsidRDefault="00BE1E11" w:rsidP="008432AF">
      <w:pPr>
        <w:ind w:left="720" w:hanging="720"/>
        <w:rPr>
          <w:color w:val="FF0000"/>
        </w:rPr>
      </w:pPr>
    </w:p>
    <w:p w14:paraId="50036A53" w14:textId="7C795D1F" w:rsidR="008C77EB" w:rsidRDefault="008432AF" w:rsidP="009A1862">
      <w:pPr>
        <w:ind w:left="720" w:hanging="720"/>
        <w:jc w:val="both"/>
      </w:pPr>
      <w:r>
        <w:t>6.</w:t>
      </w:r>
      <w:r w:rsidR="009A1862">
        <w:t>7</w:t>
      </w:r>
      <w:r>
        <w:t xml:space="preserve"> </w:t>
      </w:r>
      <w:r>
        <w:tab/>
      </w:r>
      <w:r w:rsidR="009A1862">
        <w:t xml:space="preserve">The service </w:t>
      </w:r>
      <w:r w:rsidR="00BB2837">
        <w:t>also undertook a survey with</w:t>
      </w:r>
      <w:r w:rsidR="00E44317">
        <w:t xml:space="preserve"> residents regarding</w:t>
      </w:r>
      <w:r w:rsidR="00BB2837">
        <w:t xml:space="preserve"> accommodation and the service provided to those who required temporary accommodation. This exercise provided a relatively positive result with a </w:t>
      </w:r>
      <w:r w:rsidR="00BB2837" w:rsidRPr="00BB2837">
        <w:t>total 88%</w:t>
      </w:r>
      <w:r w:rsidR="00BB2837">
        <w:t xml:space="preserve"> of respondents indicating </w:t>
      </w:r>
      <w:r w:rsidR="00BB2837" w:rsidRPr="00BB2837">
        <w:t xml:space="preserve">that they were either satisfied or very satisfied with the service received from </w:t>
      </w:r>
      <w:r w:rsidR="00BB2837" w:rsidRPr="008815C2">
        <w:t xml:space="preserve">staff. </w:t>
      </w:r>
      <w:r w:rsidR="00BB5D2B">
        <w:t xml:space="preserve">The survey also </w:t>
      </w:r>
    </w:p>
    <w:p w14:paraId="2E12C5B3" w14:textId="76621872" w:rsidR="008C77EB" w:rsidRDefault="008432AF" w:rsidP="009A1862">
      <w:pPr>
        <w:ind w:left="720" w:hanging="720"/>
        <w:jc w:val="both"/>
      </w:pPr>
      <w:r>
        <w:t>6.</w:t>
      </w:r>
      <w:r w:rsidR="009A1862">
        <w:t>8</w:t>
      </w:r>
      <w:r>
        <w:t xml:space="preserve"> </w:t>
      </w:r>
      <w:r>
        <w:tab/>
      </w:r>
      <w:r w:rsidR="00D15184">
        <w:t xml:space="preserve">Through the Change Programme and the inclusion of the in-house team of Rapid Rehousing Support Workers the amount of support the service </w:t>
      </w:r>
      <w:r w:rsidR="00BC31F7">
        <w:t>can</w:t>
      </w:r>
      <w:r w:rsidR="00D15184">
        <w:t xml:space="preserve"> provide to those experiencing the trau</w:t>
      </w:r>
      <w:r w:rsidR="00B106DA">
        <w:t>ma of homelessness has significantly</w:t>
      </w:r>
      <w:r w:rsidR="00D15184">
        <w:t xml:space="preserve"> increased. Some of the activities that have been implemented by this new team are listed</w:t>
      </w:r>
      <w:r w:rsidR="00B106DA">
        <w:t xml:space="preserve"> below</w:t>
      </w:r>
      <w:r w:rsidR="00D15184">
        <w:t>:</w:t>
      </w:r>
    </w:p>
    <w:p w14:paraId="21372BD0" w14:textId="0079FC78" w:rsidR="00D15184" w:rsidRDefault="00D15184">
      <w:pPr>
        <w:pStyle w:val="ListParagraph"/>
        <w:numPr>
          <w:ilvl w:val="0"/>
          <w:numId w:val="8"/>
        </w:numPr>
        <w:ind w:left="1080"/>
        <w:jc w:val="both"/>
      </w:pPr>
      <w:r>
        <w:t xml:space="preserve">A </w:t>
      </w:r>
      <w:r w:rsidRPr="00D15184">
        <w:t>Support Lounge has been open since December 2022. This has allowed a communal space for service users to attend to have some company, t</w:t>
      </w:r>
      <w:r w:rsidR="00B106DA">
        <w:t>ea/coffee/biscuits and regular</w:t>
      </w:r>
      <w:r w:rsidRPr="00D15184">
        <w:t xml:space="preserve"> hot food. There is a TV and </w:t>
      </w:r>
      <w:r w:rsidR="00991926" w:rsidRPr="00D15184">
        <w:t>radio,</w:t>
      </w:r>
      <w:r w:rsidRPr="00D15184">
        <w:t xml:space="preserve"> and the support workers encourage topical discussion. </w:t>
      </w:r>
      <w:r w:rsidRPr="00D15184">
        <w:lastRenderedPageBreak/>
        <w:t>Use of art supplies has been popular also, with some service users enjoying mindfulness colouring b</w:t>
      </w:r>
      <w:r w:rsidR="00E12542">
        <w:t>ooks.</w:t>
      </w:r>
    </w:p>
    <w:p w14:paraId="5C987E7D" w14:textId="214E8800" w:rsidR="00F96887" w:rsidRDefault="00F96887">
      <w:pPr>
        <w:pStyle w:val="ListParagraph"/>
        <w:numPr>
          <w:ilvl w:val="0"/>
          <w:numId w:val="8"/>
        </w:numPr>
        <w:ind w:left="1080"/>
        <w:jc w:val="both"/>
      </w:pPr>
      <w:r>
        <w:t xml:space="preserve">The team has linked in with partner agencies to provide regular ‘drop in’ activities </w:t>
      </w:r>
      <w:r w:rsidR="00BC31F7">
        <w:t>including</w:t>
      </w:r>
      <w:r>
        <w:t xml:space="preserve"> 4 weekly optician visits with eye tests and free glasses for those who need them; 6-8 weekly haircuts provided freely by local college students; weekly recovery support group and weekly visit from benefits and money advice service. </w:t>
      </w:r>
    </w:p>
    <w:p w14:paraId="61395687" w14:textId="0E59BE3C" w:rsidR="00E66E35" w:rsidRPr="00D15184" w:rsidRDefault="00E66E35">
      <w:pPr>
        <w:pStyle w:val="ListParagraph"/>
        <w:numPr>
          <w:ilvl w:val="0"/>
          <w:numId w:val="8"/>
        </w:numPr>
        <w:ind w:left="1080"/>
        <w:jc w:val="both"/>
      </w:pPr>
      <w:r>
        <w:t xml:space="preserve">Increased communications with </w:t>
      </w:r>
      <w:r w:rsidR="0022088A">
        <w:t xml:space="preserve">Inverclyde Centre </w:t>
      </w:r>
      <w:r>
        <w:t xml:space="preserve">residents – use of daily whiteboard with information </w:t>
      </w:r>
      <w:r w:rsidR="00991926">
        <w:t>regarding</w:t>
      </w:r>
      <w:r>
        <w:t xml:space="preserve"> attendance of other services and local </w:t>
      </w:r>
      <w:r w:rsidR="009A1862">
        <w:t xml:space="preserve">community resources and </w:t>
      </w:r>
      <w:r>
        <w:t>support</w:t>
      </w:r>
      <w:r w:rsidR="0022088A">
        <w:t>s</w:t>
      </w:r>
      <w:r>
        <w:t xml:space="preserve"> available to them. </w:t>
      </w:r>
    </w:p>
    <w:p w14:paraId="6FB96011" w14:textId="6D78454C" w:rsidR="00E66E35" w:rsidRDefault="00D15184">
      <w:pPr>
        <w:pStyle w:val="ListParagraph"/>
        <w:numPr>
          <w:ilvl w:val="0"/>
          <w:numId w:val="8"/>
        </w:numPr>
        <w:ind w:left="1080"/>
        <w:jc w:val="both"/>
      </w:pPr>
      <w:r>
        <w:t xml:space="preserve">A Brunch Club has commenced </w:t>
      </w:r>
      <w:r w:rsidR="00F96887">
        <w:t>-</w:t>
      </w:r>
      <w:r w:rsidR="00F96887" w:rsidRPr="00F96887">
        <w:t xml:space="preserve"> RRST have </w:t>
      </w:r>
      <w:r w:rsidR="00BC31F7" w:rsidRPr="00F96887">
        <w:t>arranged</w:t>
      </w:r>
      <w:r w:rsidR="00F96887" w:rsidRPr="00F96887">
        <w:t xml:space="preserve"> with a local butcher, who has agreed to provide meats, rolls, eggs for wholesale prices.</w:t>
      </w:r>
      <w:r w:rsidR="00E66E35">
        <w:t xml:space="preserve"> This provides RRST with the opportunity to ensure service users can access a hot meal every Saturday and Sunday. </w:t>
      </w:r>
    </w:p>
    <w:p w14:paraId="004FC5BE" w14:textId="10533257" w:rsidR="005F348D" w:rsidRDefault="00E66E35">
      <w:pPr>
        <w:pStyle w:val="ListParagraph"/>
        <w:numPr>
          <w:ilvl w:val="0"/>
          <w:numId w:val="8"/>
        </w:numPr>
        <w:ind w:left="1080"/>
        <w:jc w:val="both"/>
      </w:pPr>
      <w:r>
        <w:t xml:space="preserve">Increased joint working with partner agencies and </w:t>
      </w:r>
      <w:r w:rsidR="00E0728A">
        <w:t>community-based</w:t>
      </w:r>
      <w:r>
        <w:t xml:space="preserve"> supports </w:t>
      </w:r>
      <w:r w:rsidR="000676DE">
        <w:t xml:space="preserve">– residents are making greater use of these </w:t>
      </w:r>
      <w:r w:rsidR="00E0728A">
        <w:t>community-based</w:t>
      </w:r>
      <w:r w:rsidR="000676DE">
        <w:t xml:space="preserve"> supports as a result – important for long term recovery and housing sustainment that support doesn’t solely come in the form of the homelessness service. </w:t>
      </w:r>
    </w:p>
    <w:p w14:paraId="62BEED86" w14:textId="77777777" w:rsidR="009A1862" w:rsidRDefault="009A1862" w:rsidP="009A1862">
      <w:pPr>
        <w:pStyle w:val="ListParagraph"/>
        <w:ind w:left="1080"/>
      </w:pPr>
    </w:p>
    <w:p w14:paraId="7A4F4D70" w14:textId="316BC97A" w:rsidR="0030625B" w:rsidRPr="000D22AE" w:rsidRDefault="009A1862">
      <w:pPr>
        <w:pStyle w:val="ListParagraph"/>
        <w:numPr>
          <w:ilvl w:val="0"/>
          <w:numId w:val="10"/>
        </w:numPr>
        <w:rPr>
          <w:b/>
        </w:rPr>
      </w:pPr>
      <w:r>
        <w:rPr>
          <w:b/>
        </w:rPr>
        <w:t>Ne</w:t>
      </w:r>
      <w:r w:rsidR="0096164E" w:rsidRPr="00D807E1">
        <w:rPr>
          <w:b/>
        </w:rPr>
        <w:t>xt steps for Year 5</w:t>
      </w:r>
      <w:r w:rsidR="00166CA3" w:rsidRPr="00D807E1">
        <w:rPr>
          <w:b/>
        </w:rPr>
        <w:t xml:space="preserve"> of RRTP – 2023/24</w:t>
      </w:r>
    </w:p>
    <w:p w14:paraId="5FD7A141" w14:textId="2E84761E" w:rsidR="009A1862" w:rsidRDefault="00AF11DA" w:rsidP="009A1862">
      <w:pPr>
        <w:ind w:left="720" w:hanging="720"/>
        <w:jc w:val="both"/>
      </w:pPr>
      <w:r>
        <w:t>7.1</w:t>
      </w:r>
      <w:r>
        <w:tab/>
      </w:r>
      <w:r w:rsidR="0030625B">
        <w:t>The rebranding of the service as a Housing Option</w:t>
      </w:r>
      <w:r w:rsidR="00912CF5">
        <w:t>s</w:t>
      </w:r>
      <w:r w:rsidR="0030625B">
        <w:t xml:space="preserve"> and </w:t>
      </w:r>
      <w:r w:rsidR="00592DAF">
        <w:t xml:space="preserve">Homelessness </w:t>
      </w:r>
      <w:r w:rsidR="0030625B">
        <w:t>Advice Serv</w:t>
      </w:r>
      <w:r w:rsidR="00794DCF">
        <w:t xml:space="preserve">ice is a major </w:t>
      </w:r>
      <w:r w:rsidR="00BC31F7">
        <w:t>milestone</w:t>
      </w:r>
      <w:r w:rsidR="00D52062">
        <w:t xml:space="preserve">. </w:t>
      </w:r>
      <w:r w:rsidR="009A1862">
        <w:t>T</w:t>
      </w:r>
      <w:r w:rsidR="0030625B">
        <w:t xml:space="preserve">he </w:t>
      </w:r>
      <w:r w:rsidR="006B332D">
        <w:t>cross-sector</w:t>
      </w:r>
      <w:r w:rsidR="0030625B">
        <w:t xml:space="preserve"> partnership and early intervention involved in this approach will be fundamental to fulfilling objective 1 with prevention at the forefront o</w:t>
      </w:r>
      <w:r w:rsidR="0022088A">
        <w:t>f a Housing Options H</w:t>
      </w:r>
      <w:r w:rsidR="0030625B">
        <w:t>ub.</w:t>
      </w:r>
      <w:r w:rsidR="0022088A">
        <w:t xml:space="preserve"> </w:t>
      </w:r>
    </w:p>
    <w:p w14:paraId="4F5ACC14" w14:textId="4C6241CD" w:rsidR="0030625B" w:rsidRDefault="009A1862" w:rsidP="009A1862">
      <w:pPr>
        <w:ind w:left="720" w:hanging="720"/>
        <w:jc w:val="both"/>
      </w:pPr>
      <w:r>
        <w:t>7.2</w:t>
      </w:r>
      <w:r>
        <w:tab/>
      </w:r>
      <w:r w:rsidR="0022088A">
        <w:t>The hub will be used to undertake s</w:t>
      </w:r>
      <w:r w:rsidR="00A911E2">
        <w:t xml:space="preserve">tatutory assessment duties </w:t>
      </w:r>
      <w:r>
        <w:t>as well as providing</w:t>
      </w:r>
      <w:r w:rsidR="00A911E2">
        <w:t xml:space="preserve"> a</w:t>
      </w:r>
      <w:r w:rsidR="0022088A">
        <w:t xml:space="preserve"> location for general housing advice with local housing associations</w:t>
      </w:r>
      <w:r w:rsidR="003E1E2D">
        <w:t xml:space="preserve"> involved </w:t>
      </w:r>
      <w:r>
        <w:t xml:space="preserve">in this element.  </w:t>
      </w:r>
      <w:r w:rsidR="00C73704">
        <w:t>The reduction of stigma in this style of service</w:t>
      </w:r>
      <w:r>
        <w:t xml:space="preserve"> delivery reduces thresholds for </w:t>
      </w:r>
      <w:r w:rsidR="00C73704">
        <w:t>obtaining assistance</w:t>
      </w:r>
      <w:r>
        <w:t xml:space="preserve"> and</w:t>
      </w:r>
      <w:r w:rsidR="00C73704">
        <w:t xml:space="preserve"> should increase numbers of those accessing housing options advice prior to </w:t>
      </w:r>
      <w:r w:rsidR="00BC31F7">
        <w:t>a crisis</w:t>
      </w:r>
      <w:r>
        <w:t xml:space="preserve">, rather than making contact </w:t>
      </w:r>
      <w:r w:rsidR="00113B24">
        <w:t>at the point where</w:t>
      </w:r>
      <w:r>
        <w:t xml:space="preserve"> </w:t>
      </w:r>
      <w:r w:rsidR="00C73704">
        <w:t xml:space="preserve">a homeless application and temporary accommodation </w:t>
      </w:r>
      <w:r>
        <w:t xml:space="preserve">is </w:t>
      </w:r>
      <w:r w:rsidR="00C73704">
        <w:t xml:space="preserve">required. </w:t>
      </w:r>
    </w:p>
    <w:p w14:paraId="39611C85" w14:textId="2AEFA95F" w:rsidR="00113B24" w:rsidRDefault="0030625B" w:rsidP="00184DDC">
      <w:pPr>
        <w:ind w:left="720" w:hanging="720"/>
        <w:jc w:val="both"/>
      </w:pPr>
      <w:r>
        <w:t>7.</w:t>
      </w:r>
      <w:r w:rsidR="00BD3073">
        <w:t>3</w:t>
      </w:r>
      <w:r>
        <w:tab/>
      </w:r>
      <w:r w:rsidR="0096164E">
        <w:t>In Year 5</w:t>
      </w:r>
      <w:r w:rsidR="00F27801">
        <w:t xml:space="preserve"> of the RRTP</w:t>
      </w:r>
      <w:r w:rsidR="00BD3073">
        <w:t xml:space="preserve">, </w:t>
      </w:r>
      <w:r w:rsidR="006C3DCA">
        <w:t xml:space="preserve">the service </w:t>
      </w:r>
      <w:r w:rsidR="00BD3073">
        <w:t>will</w:t>
      </w:r>
      <w:r w:rsidR="00F27801">
        <w:t xml:space="preserve"> beco</w:t>
      </w:r>
      <w:r w:rsidR="00AA210C">
        <w:t>me more data driven</w:t>
      </w:r>
      <w:r w:rsidR="00113B24">
        <w:t>.  This will support short, medium and long-term</w:t>
      </w:r>
      <w:r w:rsidR="00AA210C">
        <w:t xml:space="preserve"> forecasting </w:t>
      </w:r>
      <w:r w:rsidR="00BD3073">
        <w:t>of</w:t>
      </w:r>
      <w:r w:rsidR="00AA210C">
        <w:t xml:space="preserve"> </w:t>
      </w:r>
      <w:r w:rsidR="00113B24">
        <w:t>service delivery</w:t>
      </w:r>
      <w:r w:rsidR="00AA210C">
        <w:t xml:space="preserve"> and provid</w:t>
      </w:r>
      <w:r w:rsidR="00BD3073">
        <w:t>e</w:t>
      </w:r>
      <w:r w:rsidR="00AA210C">
        <w:t xml:space="preserve"> context where changes </w:t>
      </w:r>
      <w:r w:rsidR="00113B24">
        <w:t>have made improvements</w:t>
      </w:r>
      <w:r w:rsidR="00AA210C">
        <w:t>.</w:t>
      </w:r>
      <w:r w:rsidR="00B20019">
        <w:t xml:space="preserve"> </w:t>
      </w:r>
      <w:r w:rsidR="00113B24">
        <w:t>F</w:t>
      </w:r>
      <w:r w:rsidR="00B20019">
        <w:t xml:space="preserve">orecasting of future needs is of particular importance </w:t>
      </w:r>
      <w:r w:rsidR="006C3DCA">
        <w:t xml:space="preserve">as we further </w:t>
      </w:r>
      <w:r w:rsidR="00B20019">
        <w:t>decommissio</w:t>
      </w:r>
      <w:r w:rsidR="006C3DCA">
        <w:t>n rooms in the h</w:t>
      </w:r>
      <w:r w:rsidR="00B20019">
        <w:t>ostel and utilis</w:t>
      </w:r>
      <w:r w:rsidR="006C3DCA">
        <w:t>e more</w:t>
      </w:r>
      <w:r w:rsidR="00B20019">
        <w:t xml:space="preserve"> temporary furnished flats in the community as a replacement</w:t>
      </w:r>
      <w:r w:rsidR="006C3DCA">
        <w:t xml:space="preserve">. </w:t>
      </w:r>
    </w:p>
    <w:p w14:paraId="695407FC" w14:textId="63C69BE1" w:rsidR="00166CA3" w:rsidRDefault="00113B24" w:rsidP="00113B24">
      <w:pPr>
        <w:ind w:left="720" w:hanging="720"/>
        <w:jc w:val="both"/>
      </w:pPr>
      <w:r>
        <w:t>7.4</w:t>
      </w:r>
      <w:r>
        <w:tab/>
      </w:r>
      <w:r w:rsidR="006C3DCA">
        <w:t>T</w:t>
      </w:r>
      <w:r w:rsidR="00B20019">
        <w:t>he removal of local connection duties m</w:t>
      </w:r>
      <w:r>
        <w:t>ay</w:t>
      </w:r>
      <w:r w:rsidR="00B20019">
        <w:t xml:space="preserve"> impact on homeless presentation numbers to the area </w:t>
      </w:r>
      <w:r w:rsidR="006C3DCA">
        <w:t>in future</w:t>
      </w:r>
      <w:r w:rsidR="007649A2">
        <w:t>, this has not yet been evidenced</w:t>
      </w:r>
      <w:r w:rsidR="008815C2">
        <w:t xml:space="preserve"> </w:t>
      </w:r>
      <w:r w:rsidR="00960E77">
        <w:t xml:space="preserve">but </w:t>
      </w:r>
      <w:r w:rsidR="008815C2">
        <w:t xml:space="preserve">we will continue to monitor </w:t>
      </w:r>
      <w:r w:rsidR="007649A2">
        <w:t>and respond accordingly</w:t>
      </w:r>
      <w:r w:rsidR="008815C2">
        <w:t xml:space="preserve">. In </w:t>
      </w:r>
      <w:r w:rsidR="007649A2">
        <w:t>addition,</w:t>
      </w:r>
      <w:r w:rsidR="008815C2">
        <w:t xml:space="preserve"> the </w:t>
      </w:r>
      <w:r w:rsidR="007649A2">
        <w:t>response of the Scottish Government as a ‘super sponsor’ to the ongoing war in Ukraine has nationally increased the number of households requiring rapid access accommodation. As of yet, Inverclyde Homelessness Services have not been impacted by the refugee situation due to the ongoing work of our local Asylum and Resettlement Workers</w:t>
      </w:r>
      <w:r w:rsidR="00960E77">
        <w:t xml:space="preserve"> to prevent homelessness, however, discussions with this team are ongoing, as pressures continue to mount with rising numbers. </w:t>
      </w:r>
    </w:p>
    <w:p w14:paraId="6538E7D9" w14:textId="702FF5B1" w:rsidR="00113B24" w:rsidRDefault="0030625B" w:rsidP="00184DDC">
      <w:pPr>
        <w:ind w:left="720" w:hanging="720"/>
        <w:jc w:val="both"/>
      </w:pPr>
      <w:r>
        <w:t>7.</w:t>
      </w:r>
      <w:r w:rsidR="00FD4048">
        <w:t>5</w:t>
      </w:r>
      <w:r w:rsidR="00184DDC">
        <w:tab/>
      </w:r>
      <w:r w:rsidR="001063F9">
        <w:t>Like many local authorit</w:t>
      </w:r>
      <w:r w:rsidR="00191ACD">
        <w:t>ies</w:t>
      </w:r>
      <w:r w:rsidR="006C3DCA">
        <w:t xml:space="preserve">, the service is </w:t>
      </w:r>
      <w:r w:rsidR="00191ACD">
        <w:t>looking to widen</w:t>
      </w:r>
      <w:r w:rsidR="00303E03">
        <w:t xml:space="preserve"> </w:t>
      </w:r>
      <w:r w:rsidR="00FD4048">
        <w:t>access to</w:t>
      </w:r>
      <w:r w:rsidR="00303E03">
        <w:t xml:space="preserve"> already available housing stock</w:t>
      </w:r>
      <w:r w:rsidR="001063F9">
        <w:t xml:space="preserve"> by</w:t>
      </w:r>
      <w:r w:rsidR="00AB25AC">
        <w:t xml:space="preserve"> work</w:t>
      </w:r>
      <w:r w:rsidR="006C3DCA">
        <w:t>ing</w:t>
      </w:r>
      <w:r w:rsidR="00AB25AC">
        <w:t xml:space="preserve"> more closely with the Private Rented Sector</w:t>
      </w:r>
      <w:r w:rsidR="00FD4048">
        <w:t xml:space="preserve">.  </w:t>
      </w:r>
      <w:r w:rsidR="00303B9E">
        <w:t xml:space="preserve"> The Change Lead is introducing a</w:t>
      </w:r>
      <w:r w:rsidR="006C3DCA" w:rsidRPr="006C3DCA">
        <w:t xml:space="preserve"> PRS Landlord</w:t>
      </w:r>
      <w:r w:rsidR="00280716">
        <w:t xml:space="preserve"> </w:t>
      </w:r>
      <w:r w:rsidR="006C3DCA">
        <w:t xml:space="preserve">to improve </w:t>
      </w:r>
      <w:r w:rsidR="006C3DCA" w:rsidRPr="006C3DCA">
        <w:t>relationships and communication with the sector</w:t>
      </w:r>
      <w:r w:rsidR="00FD4048">
        <w:t xml:space="preserve">, in turn </w:t>
      </w:r>
      <w:r w:rsidR="009077A1">
        <w:t xml:space="preserve">increasing </w:t>
      </w:r>
      <w:r w:rsidR="009077A1">
        <w:lastRenderedPageBreak/>
        <w:t>access</w:t>
      </w:r>
      <w:r w:rsidR="00303B9E">
        <w:t xml:space="preserve"> to the PRS </w:t>
      </w:r>
      <w:r w:rsidR="00FD4048">
        <w:t xml:space="preserve">using initiatives such as the </w:t>
      </w:r>
      <w:r w:rsidR="001063F9">
        <w:t>Deposit Guarantee Schem</w:t>
      </w:r>
      <w:r w:rsidR="00FD4048">
        <w:t xml:space="preserve">e and alleviating </w:t>
      </w:r>
      <w:r w:rsidR="00AB25AC">
        <w:t>some of the current pressures on local housing associations.</w:t>
      </w:r>
      <w:r w:rsidR="00403768">
        <w:t xml:space="preserve"> </w:t>
      </w:r>
    </w:p>
    <w:p w14:paraId="589C5112" w14:textId="1CB1F006" w:rsidR="00FD4048" w:rsidRDefault="00C73704" w:rsidP="00184DDC">
      <w:pPr>
        <w:ind w:left="720" w:hanging="720"/>
        <w:jc w:val="both"/>
      </w:pPr>
      <w:r>
        <w:t>7.</w:t>
      </w:r>
      <w:r w:rsidR="00184DDC">
        <w:t>6</w:t>
      </w:r>
      <w:r>
        <w:t xml:space="preserve"> </w:t>
      </w:r>
      <w:r>
        <w:tab/>
        <w:t xml:space="preserve">Recognising that people who do not have secure accommodation are not all the </w:t>
      </w:r>
      <w:r w:rsidR="00960E77">
        <w:t xml:space="preserve">same, </w:t>
      </w:r>
      <w:r w:rsidR="00960E77" w:rsidRPr="00937EC7">
        <w:t>therefore</w:t>
      </w:r>
      <w:r w:rsidRPr="00937EC7">
        <w:t xml:space="preserve"> the accommodation </w:t>
      </w:r>
      <w:r w:rsidR="00FD4048">
        <w:t>and support they</w:t>
      </w:r>
      <w:r w:rsidRPr="00937EC7">
        <w:t xml:space="preserve"> require </w:t>
      </w:r>
      <w:r w:rsidR="00FD4048">
        <w:t xml:space="preserve">is also </w:t>
      </w:r>
      <w:r w:rsidRPr="00937EC7">
        <w:t>different</w:t>
      </w:r>
      <w:r w:rsidR="00FD4048">
        <w:t xml:space="preserve">.  The service is looking to develop </w:t>
      </w:r>
      <w:r>
        <w:t xml:space="preserve">a wider range of temporary </w:t>
      </w:r>
      <w:r w:rsidR="003B238D">
        <w:t xml:space="preserve">and settled </w:t>
      </w:r>
      <w:r>
        <w:t xml:space="preserve">accommodation styles. </w:t>
      </w:r>
    </w:p>
    <w:p w14:paraId="66FEEA15" w14:textId="77777777" w:rsidR="002B7D2E" w:rsidRDefault="002B7D2E" w:rsidP="002B7D2E">
      <w:pPr>
        <w:ind w:left="720" w:hanging="720"/>
        <w:jc w:val="both"/>
      </w:pPr>
      <w:r>
        <w:t>7.7</w:t>
      </w:r>
      <w:r>
        <w:tab/>
      </w:r>
      <w:r w:rsidR="00FD4048">
        <w:t xml:space="preserve">Initial </w:t>
      </w:r>
      <w:r w:rsidR="005A7FA4">
        <w:t>discussions with local housing associations on core an</w:t>
      </w:r>
      <w:r w:rsidR="009201C2">
        <w:t>d cluster accommodation models</w:t>
      </w:r>
      <w:r w:rsidR="00FD4048">
        <w:t xml:space="preserve">, will provide </w:t>
      </w:r>
      <w:r w:rsidR="009201C2">
        <w:t xml:space="preserve">more appropriate </w:t>
      </w:r>
      <w:r w:rsidR="00FD4048">
        <w:t xml:space="preserve">housing </w:t>
      </w:r>
      <w:r w:rsidR="009201C2">
        <w:t>style</w:t>
      </w:r>
      <w:r w:rsidR="00FD4048">
        <w:t>s</w:t>
      </w:r>
      <w:r w:rsidR="009201C2">
        <w:t xml:space="preserve"> for individuals with</w:t>
      </w:r>
      <w:r w:rsidR="007A6369">
        <w:t xml:space="preserve"> complex needs. </w:t>
      </w:r>
      <w:r w:rsidR="00E0728A">
        <w:t>This</w:t>
      </w:r>
      <w:r w:rsidR="00FD4048">
        <w:t xml:space="preserve"> has potential to</w:t>
      </w:r>
      <w:r w:rsidR="00E0728A">
        <w:t xml:space="preserve"> make use of some of the</w:t>
      </w:r>
      <w:r w:rsidR="0074335D">
        <w:t xml:space="preserve"> </w:t>
      </w:r>
      <w:r w:rsidR="00E0728A">
        <w:t>long</w:t>
      </w:r>
      <w:r w:rsidR="0074335D">
        <w:t>-</w:t>
      </w:r>
      <w:r w:rsidR="00E0728A">
        <w:t>term empty properties</w:t>
      </w:r>
      <w:r w:rsidR="00FD4048">
        <w:t>.  Bringing these properties back into use will benefit</w:t>
      </w:r>
      <w:r>
        <w:t xml:space="preserve"> people who need this type of tenure, the service</w:t>
      </w:r>
      <w:r w:rsidR="0053676F">
        <w:t xml:space="preserve">, local housing associations and the community. </w:t>
      </w:r>
    </w:p>
    <w:p w14:paraId="782A2A84" w14:textId="683C67DD" w:rsidR="00AF11DA" w:rsidRDefault="002B7D2E" w:rsidP="002B7D2E">
      <w:pPr>
        <w:ind w:left="720" w:hanging="720"/>
        <w:jc w:val="both"/>
      </w:pPr>
      <w:r>
        <w:t>7.8</w:t>
      </w:r>
      <w:r>
        <w:tab/>
        <w:t>T</w:t>
      </w:r>
      <w:r w:rsidR="00527E42">
        <w:t>he service will create housing pathway</w:t>
      </w:r>
      <w:r>
        <w:t>s</w:t>
      </w:r>
      <w:r w:rsidR="00527E42">
        <w:t xml:space="preserve"> in the coming year</w:t>
      </w:r>
      <w:r>
        <w:t xml:space="preserve"> to support these new models</w:t>
      </w:r>
      <w:r w:rsidR="00527E42">
        <w:t xml:space="preserve">. </w:t>
      </w:r>
    </w:p>
    <w:p w14:paraId="2607A20E" w14:textId="6FBCC995" w:rsidR="002B7D2E" w:rsidRDefault="00AF11DA" w:rsidP="00184DDC">
      <w:pPr>
        <w:ind w:left="720" w:hanging="720"/>
        <w:jc w:val="both"/>
      </w:pPr>
      <w:r>
        <w:t>7.</w:t>
      </w:r>
      <w:r w:rsidR="002B7D2E">
        <w:t>9</w:t>
      </w:r>
      <w:r>
        <w:t xml:space="preserve"> </w:t>
      </w:r>
      <w:r>
        <w:tab/>
      </w:r>
      <w:r w:rsidR="005C4C1A">
        <w:t>Enhancing links in order to prevent homelessness</w:t>
      </w:r>
      <w:r w:rsidR="002B7D2E">
        <w:t>.  Ongoing</w:t>
      </w:r>
      <w:r w:rsidR="005C4C1A">
        <w:t xml:space="preserve"> discussions with S</w:t>
      </w:r>
      <w:r w:rsidR="002B7D2E">
        <w:t xml:space="preserve">cottish </w:t>
      </w:r>
      <w:r w:rsidR="005C4C1A">
        <w:t>P</w:t>
      </w:r>
      <w:r w:rsidR="002B7D2E">
        <w:t xml:space="preserve">rison </w:t>
      </w:r>
      <w:r w:rsidR="005C4C1A">
        <w:t>S</w:t>
      </w:r>
      <w:r w:rsidR="002B7D2E">
        <w:t>ervice</w:t>
      </w:r>
      <w:r w:rsidR="005C4C1A">
        <w:t xml:space="preserve">, Criminal Justice, Mental Health Services and </w:t>
      </w:r>
      <w:r w:rsidR="002B7D2E">
        <w:t xml:space="preserve">acute </w:t>
      </w:r>
      <w:r w:rsidR="005C4C1A">
        <w:t xml:space="preserve">hospitals are </w:t>
      </w:r>
      <w:r w:rsidR="002B7D2E">
        <w:t xml:space="preserve">underway to </w:t>
      </w:r>
      <w:r w:rsidR="005C4C1A">
        <w:t>improv</w:t>
      </w:r>
      <w:r w:rsidR="002B7D2E">
        <w:t>e</w:t>
      </w:r>
      <w:r w:rsidR="005C4C1A">
        <w:t xml:space="preserve"> transitional pathways to homelessness services or housing where homelessness can be prevented. </w:t>
      </w:r>
    </w:p>
    <w:p w14:paraId="3A1E23A4" w14:textId="77777777" w:rsidR="002B7D2E" w:rsidRDefault="002B7D2E" w:rsidP="00184DDC">
      <w:pPr>
        <w:ind w:left="720" w:hanging="720"/>
        <w:jc w:val="both"/>
      </w:pPr>
      <w:r>
        <w:t>7.10</w:t>
      </w:r>
      <w:r>
        <w:tab/>
        <w:t>St</w:t>
      </w:r>
      <w:r w:rsidR="005A16DB">
        <w:t>rengthening these links</w:t>
      </w:r>
      <w:r w:rsidR="00123B3D">
        <w:t xml:space="preserve">, </w:t>
      </w:r>
      <w:r>
        <w:t xml:space="preserve">going forward we will focus on </w:t>
      </w:r>
      <w:r w:rsidR="00123B3D">
        <w:t>achieving SHORE standards</w:t>
      </w:r>
      <w:r w:rsidR="005A16DB">
        <w:t xml:space="preserve"> and encourag</w:t>
      </w:r>
      <w:r>
        <w:t>e</w:t>
      </w:r>
      <w:r w:rsidR="005A16DB">
        <w:t xml:space="preserve"> continuous and impro</w:t>
      </w:r>
      <w:r w:rsidR="00FE0EFA">
        <w:t xml:space="preserve">ved collaborative working. </w:t>
      </w:r>
      <w:r>
        <w:t>Refreshing of d</w:t>
      </w:r>
      <w:r w:rsidR="00FE0EFA">
        <w:t>ischarge protocols and preventing homelessness will be evidenced in a</w:t>
      </w:r>
      <w:r>
        <w:t xml:space="preserve"> continued</w:t>
      </w:r>
      <w:r w:rsidR="00FE0EFA">
        <w:t xml:space="preserve"> decrease in the number of persons presenting to the service </w:t>
      </w:r>
      <w:r w:rsidR="00BC31F7">
        <w:t>because of</w:t>
      </w:r>
      <w:r w:rsidR="00FE0EFA">
        <w:t xml:space="preserve"> discharge from prison </w:t>
      </w:r>
      <w:r w:rsidR="00991926">
        <w:t>/ hospital</w:t>
      </w:r>
      <w:r w:rsidR="00FE0EFA">
        <w:t xml:space="preserve"> / care / other institutions</w:t>
      </w:r>
      <w:r>
        <w:t xml:space="preserve">.  </w:t>
      </w:r>
    </w:p>
    <w:p w14:paraId="04AE103B" w14:textId="3493D648" w:rsidR="00AF11DA" w:rsidRDefault="002B7D2E" w:rsidP="002B7D2E">
      <w:pPr>
        <w:ind w:left="720" w:hanging="720"/>
        <w:jc w:val="both"/>
      </w:pPr>
      <w:r>
        <w:t>7.11</w:t>
      </w:r>
      <w:r>
        <w:tab/>
        <w:t xml:space="preserve">The service has </w:t>
      </w:r>
      <w:r w:rsidR="009950BC">
        <w:t>e</w:t>
      </w:r>
      <w:r w:rsidR="002954BE">
        <w:t xml:space="preserve">xisting links and </w:t>
      </w:r>
      <w:r w:rsidR="009950BC">
        <w:t xml:space="preserve">refer to Inverclyde Women’s Aid </w:t>
      </w:r>
      <w:r w:rsidR="002954BE">
        <w:t xml:space="preserve">for specialist support and/or refuge for up to 11 women.  </w:t>
      </w:r>
      <w:r w:rsidR="0032231A">
        <w:t>A Housing First pathway has been created in conjunction with Inverclyde’s Women Aid, with training and capacity given to the service to provide a tailored housing first support to women and children with a history of domestic abuse. The next step is to identify appropriate referrals.</w:t>
      </w:r>
    </w:p>
    <w:p w14:paraId="24B147BB" w14:textId="21088099" w:rsidR="00077415" w:rsidRDefault="00077415" w:rsidP="00184DDC">
      <w:pPr>
        <w:ind w:left="720" w:hanging="720"/>
        <w:jc w:val="both"/>
      </w:pPr>
      <w:r>
        <w:t>7.</w:t>
      </w:r>
      <w:r w:rsidR="002954BE">
        <w:t>12</w:t>
      </w:r>
      <w:r>
        <w:t xml:space="preserve"> </w:t>
      </w:r>
      <w:r>
        <w:tab/>
        <w:t xml:space="preserve">We will continue to expand our Housing First model in year 5 of the RRTP. A significant proportion of </w:t>
      </w:r>
      <w:r w:rsidR="007310AD">
        <w:t>Inverclyde’s</w:t>
      </w:r>
      <w:r>
        <w:t xml:space="preserve"> homeless population</w:t>
      </w:r>
      <w:r w:rsidR="00D50B31">
        <w:t xml:space="preserve"> (3</w:t>
      </w:r>
      <w:r w:rsidR="009E1A7C">
        <w:t>4%</w:t>
      </w:r>
      <w:r w:rsidR="00527E42">
        <w:t xml:space="preserve"> with high support needs</w:t>
      </w:r>
      <w:r w:rsidR="009628F9">
        <w:t xml:space="preserve"> as shown in Appendix 1</w:t>
      </w:r>
      <w:r w:rsidR="00D50B31">
        <w:t>)</w:t>
      </w:r>
      <w:r>
        <w:t xml:space="preserve"> would benefit from this </w:t>
      </w:r>
      <w:r w:rsidR="007310AD">
        <w:t xml:space="preserve">approach. </w:t>
      </w:r>
    </w:p>
    <w:p w14:paraId="40198F6D" w14:textId="77777777" w:rsidR="00F37D45" w:rsidRDefault="00F37D45" w:rsidP="00F37D45">
      <w:pPr>
        <w:ind w:left="720" w:hanging="720"/>
      </w:pPr>
    </w:p>
    <w:p w14:paraId="2FA00ECF" w14:textId="77777777" w:rsidR="000B01C9" w:rsidRDefault="000B01C9" w:rsidP="0023100C">
      <w:pPr>
        <w:ind w:left="720" w:hanging="720"/>
      </w:pPr>
    </w:p>
    <w:p w14:paraId="5CE9DE84" w14:textId="130A44CD" w:rsidR="006D49E9" w:rsidRPr="006D49E9" w:rsidRDefault="006D49E9" w:rsidP="006D49E9"/>
    <w:p w14:paraId="0BFE2499" w14:textId="2FCEB6EF" w:rsidR="006D49E9" w:rsidRPr="006D49E9" w:rsidRDefault="006D49E9" w:rsidP="006D49E9"/>
    <w:p w14:paraId="1AC94C26" w14:textId="77777777" w:rsidR="006D49E9" w:rsidRDefault="006D49E9">
      <w:pPr>
        <w:sectPr w:rsidR="006D49E9">
          <w:pgSz w:w="11906" w:h="16838"/>
          <w:pgMar w:top="1440" w:right="1440" w:bottom="1440" w:left="1440" w:header="708" w:footer="708" w:gutter="0"/>
          <w:cols w:space="708"/>
          <w:docGrid w:linePitch="360"/>
        </w:sectPr>
      </w:pPr>
    </w:p>
    <w:p w14:paraId="56822BCE" w14:textId="5AD755CD" w:rsidR="00476DC7" w:rsidRPr="003430AE" w:rsidRDefault="00476DC7" w:rsidP="003430AE">
      <w:pPr>
        <w:rPr>
          <w:u w:val="single"/>
        </w:rPr>
      </w:pPr>
    </w:p>
    <w:p w14:paraId="090304BA" w14:textId="4AA99A7B" w:rsidR="00476DC7" w:rsidRPr="00A30C2D" w:rsidRDefault="00A30C2D" w:rsidP="00476DC7">
      <w:pPr>
        <w:rPr>
          <w:bCs/>
          <w:sz w:val="24"/>
          <w:szCs w:val="18"/>
        </w:rPr>
      </w:pPr>
      <w:r w:rsidRPr="00A30C2D">
        <w:rPr>
          <w:bCs/>
          <w:sz w:val="24"/>
          <w:szCs w:val="18"/>
        </w:rPr>
        <w:t xml:space="preserve">Appendix 1: </w:t>
      </w:r>
      <w:r w:rsidR="00476DC7" w:rsidRPr="00A30C2D">
        <w:rPr>
          <w:bCs/>
          <w:sz w:val="24"/>
          <w:szCs w:val="18"/>
        </w:rPr>
        <w:t>RRTP Action Plan 2022-23</w:t>
      </w:r>
    </w:p>
    <w:p w14:paraId="53D90F70" w14:textId="77777777" w:rsidR="00476DC7" w:rsidRPr="00501F53" w:rsidRDefault="00476DC7" w:rsidP="00476DC7">
      <w:pPr>
        <w:rPr>
          <w:b/>
          <w:i/>
        </w:rPr>
      </w:pPr>
      <w:r w:rsidRPr="00501F53">
        <w:rPr>
          <w:b/>
          <w:i/>
        </w:rPr>
        <w:t>Objective 1: Reduce the need for temporary accommodation by preventing homelessness</w:t>
      </w:r>
    </w:p>
    <w:tbl>
      <w:tblPr>
        <w:tblStyle w:val="TableGrid"/>
        <w:tblW w:w="0" w:type="auto"/>
        <w:tblLook w:val="04A0" w:firstRow="1" w:lastRow="0" w:firstColumn="1" w:lastColumn="0" w:noHBand="0" w:noVBand="1"/>
      </w:tblPr>
      <w:tblGrid>
        <w:gridCol w:w="1129"/>
        <w:gridCol w:w="3402"/>
        <w:gridCol w:w="2442"/>
        <w:gridCol w:w="1953"/>
        <w:gridCol w:w="3543"/>
        <w:gridCol w:w="1479"/>
      </w:tblGrid>
      <w:tr w:rsidR="00476DC7" w14:paraId="7CC61CC6" w14:textId="77777777" w:rsidTr="002C4715">
        <w:tc>
          <w:tcPr>
            <w:tcW w:w="1129" w:type="dxa"/>
            <w:shd w:val="clear" w:color="auto" w:fill="DEEAF6" w:themeFill="accent1" w:themeFillTint="33"/>
          </w:tcPr>
          <w:p w14:paraId="49321A8C" w14:textId="77777777" w:rsidR="00476DC7" w:rsidRDefault="00476DC7" w:rsidP="002C4715">
            <w:r>
              <w:t>Measure No</w:t>
            </w:r>
          </w:p>
        </w:tc>
        <w:tc>
          <w:tcPr>
            <w:tcW w:w="3402" w:type="dxa"/>
            <w:shd w:val="clear" w:color="auto" w:fill="DEEAF6" w:themeFill="accent1" w:themeFillTint="33"/>
          </w:tcPr>
          <w:p w14:paraId="2231450D" w14:textId="77777777" w:rsidR="00476DC7" w:rsidRDefault="00476DC7" w:rsidP="002C4715">
            <w:r>
              <w:t>Measure</w:t>
            </w:r>
          </w:p>
        </w:tc>
        <w:tc>
          <w:tcPr>
            <w:tcW w:w="2442" w:type="dxa"/>
            <w:shd w:val="clear" w:color="auto" w:fill="DEEAF6" w:themeFill="accent1" w:themeFillTint="33"/>
          </w:tcPr>
          <w:p w14:paraId="5732D58B" w14:textId="77777777" w:rsidR="00476DC7" w:rsidRDefault="00476DC7" w:rsidP="002C4715">
            <w:r>
              <w:t xml:space="preserve">Target </w:t>
            </w:r>
          </w:p>
        </w:tc>
        <w:tc>
          <w:tcPr>
            <w:tcW w:w="1953" w:type="dxa"/>
            <w:shd w:val="clear" w:color="auto" w:fill="DEEAF6" w:themeFill="accent1" w:themeFillTint="33"/>
          </w:tcPr>
          <w:p w14:paraId="54371CD2" w14:textId="77777777" w:rsidR="00476DC7" w:rsidRDefault="00476DC7" w:rsidP="002C4715">
            <w:r>
              <w:t>RRTP baseline</w:t>
            </w:r>
          </w:p>
        </w:tc>
        <w:tc>
          <w:tcPr>
            <w:tcW w:w="3543" w:type="dxa"/>
            <w:shd w:val="clear" w:color="auto" w:fill="DEEAF6" w:themeFill="accent1" w:themeFillTint="33"/>
          </w:tcPr>
          <w:p w14:paraId="615990A2" w14:textId="77777777" w:rsidR="00476DC7" w:rsidRDefault="00476DC7" w:rsidP="002C4715">
            <w:r>
              <w:t>Progress at 31 March 2023</w:t>
            </w:r>
          </w:p>
        </w:tc>
        <w:tc>
          <w:tcPr>
            <w:tcW w:w="1479" w:type="dxa"/>
            <w:shd w:val="clear" w:color="auto" w:fill="DEEAF6" w:themeFill="accent1" w:themeFillTint="33"/>
          </w:tcPr>
          <w:p w14:paraId="440E89B7" w14:textId="77777777" w:rsidR="00476DC7" w:rsidRDefault="00476DC7" w:rsidP="002C4715">
            <w:r>
              <w:t>Lead</w:t>
            </w:r>
          </w:p>
        </w:tc>
      </w:tr>
      <w:tr w:rsidR="00476DC7" w14:paraId="1EF0AF88" w14:textId="77777777" w:rsidTr="002C4715">
        <w:tc>
          <w:tcPr>
            <w:tcW w:w="1129" w:type="dxa"/>
            <w:shd w:val="clear" w:color="auto" w:fill="auto"/>
          </w:tcPr>
          <w:p w14:paraId="574ADC54" w14:textId="77777777" w:rsidR="00476DC7" w:rsidRDefault="00476DC7" w:rsidP="002C4715">
            <w:r>
              <w:t xml:space="preserve">M1.1 </w:t>
            </w:r>
          </w:p>
        </w:tc>
        <w:tc>
          <w:tcPr>
            <w:tcW w:w="3402" w:type="dxa"/>
            <w:shd w:val="clear" w:color="auto" w:fill="auto"/>
          </w:tcPr>
          <w:p w14:paraId="6DF35ADB" w14:textId="77777777" w:rsidR="00476DC7" w:rsidRDefault="00476DC7" w:rsidP="002C4715">
            <w:r>
              <w:t xml:space="preserve">Number of homeless applications </w:t>
            </w:r>
          </w:p>
        </w:tc>
        <w:tc>
          <w:tcPr>
            <w:tcW w:w="2442" w:type="dxa"/>
            <w:shd w:val="clear" w:color="auto" w:fill="auto"/>
          </w:tcPr>
          <w:p w14:paraId="2BF16352" w14:textId="77777777" w:rsidR="00476DC7" w:rsidRDefault="00476DC7" w:rsidP="002C4715">
            <w:r>
              <w:t>Reduce by 10%</w:t>
            </w:r>
          </w:p>
        </w:tc>
        <w:tc>
          <w:tcPr>
            <w:tcW w:w="1953" w:type="dxa"/>
            <w:shd w:val="clear" w:color="auto" w:fill="auto"/>
          </w:tcPr>
          <w:p w14:paraId="667BF9A8" w14:textId="77777777" w:rsidR="00476DC7" w:rsidRDefault="00476DC7" w:rsidP="002C4715">
            <w:r>
              <w:t>205</w:t>
            </w:r>
          </w:p>
        </w:tc>
        <w:tc>
          <w:tcPr>
            <w:tcW w:w="3543" w:type="dxa"/>
            <w:shd w:val="clear" w:color="auto" w:fill="auto"/>
          </w:tcPr>
          <w:p w14:paraId="3D259D10" w14:textId="77777777" w:rsidR="00476DC7" w:rsidRDefault="00476DC7" w:rsidP="002C4715">
            <w:r>
              <w:t>292</w:t>
            </w:r>
          </w:p>
        </w:tc>
        <w:tc>
          <w:tcPr>
            <w:tcW w:w="1479" w:type="dxa"/>
            <w:shd w:val="clear" w:color="auto" w:fill="auto"/>
          </w:tcPr>
          <w:p w14:paraId="67075264" w14:textId="77777777" w:rsidR="00476DC7" w:rsidRDefault="00476DC7" w:rsidP="002C4715">
            <w:r>
              <w:t>HSCP</w:t>
            </w:r>
          </w:p>
        </w:tc>
      </w:tr>
      <w:tr w:rsidR="00476DC7" w14:paraId="3C745F73" w14:textId="77777777" w:rsidTr="002C4715">
        <w:tc>
          <w:tcPr>
            <w:tcW w:w="1129" w:type="dxa"/>
            <w:shd w:val="clear" w:color="auto" w:fill="auto"/>
          </w:tcPr>
          <w:p w14:paraId="128AA8C9" w14:textId="77777777" w:rsidR="00476DC7" w:rsidRDefault="00476DC7" w:rsidP="002C4715">
            <w:r>
              <w:t>M1.2</w:t>
            </w:r>
          </w:p>
        </w:tc>
        <w:tc>
          <w:tcPr>
            <w:tcW w:w="3402" w:type="dxa"/>
            <w:shd w:val="clear" w:color="auto" w:fill="auto"/>
          </w:tcPr>
          <w:p w14:paraId="6C79D938" w14:textId="77777777" w:rsidR="00476DC7" w:rsidRDefault="00476DC7" w:rsidP="002C4715">
            <w:r>
              <w:t xml:space="preserve">Number of P1 applications </w:t>
            </w:r>
          </w:p>
        </w:tc>
        <w:tc>
          <w:tcPr>
            <w:tcW w:w="2442" w:type="dxa"/>
            <w:shd w:val="clear" w:color="auto" w:fill="auto"/>
          </w:tcPr>
          <w:p w14:paraId="198F2E03" w14:textId="77777777" w:rsidR="00476DC7" w:rsidRDefault="00476DC7" w:rsidP="002C4715">
            <w:r>
              <w:t>Increase by 10%</w:t>
            </w:r>
          </w:p>
        </w:tc>
        <w:tc>
          <w:tcPr>
            <w:tcW w:w="1953" w:type="dxa"/>
            <w:shd w:val="clear" w:color="auto" w:fill="auto"/>
          </w:tcPr>
          <w:p w14:paraId="24E4D586" w14:textId="77777777" w:rsidR="00476DC7" w:rsidRDefault="00476DC7" w:rsidP="002C4715">
            <w:r>
              <w:t>702</w:t>
            </w:r>
          </w:p>
        </w:tc>
        <w:tc>
          <w:tcPr>
            <w:tcW w:w="3543" w:type="dxa"/>
            <w:shd w:val="clear" w:color="auto" w:fill="auto"/>
          </w:tcPr>
          <w:p w14:paraId="79E04480" w14:textId="77777777" w:rsidR="00476DC7" w:rsidRDefault="00476DC7" w:rsidP="002C4715">
            <w:r>
              <w:t>682</w:t>
            </w:r>
          </w:p>
        </w:tc>
        <w:tc>
          <w:tcPr>
            <w:tcW w:w="1479" w:type="dxa"/>
            <w:shd w:val="clear" w:color="auto" w:fill="auto"/>
          </w:tcPr>
          <w:p w14:paraId="2BB0E600" w14:textId="77777777" w:rsidR="00476DC7" w:rsidRDefault="00476DC7" w:rsidP="002C4715">
            <w:r>
              <w:t>HSCP</w:t>
            </w:r>
          </w:p>
        </w:tc>
      </w:tr>
      <w:tr w:rsidR="00476DC7" w14:paraId="3F322366" w14:textId="77777777" w:rsidTr="002C4715">
        <w:tc>
          <w:tcPr>
            <w:tcW w:w="1129" w:type="dxa"/>
          </w:tcPr>
          <w:p w14:paraId="577E8343" w14:textId="77777777" w:rsidR="00476DC7" w:rsidRDefault="00476DC7" w:rsidP="002C4715">
            <w:r>
              <w:t>M1.3</w:t>
            </w:r>
          </w:p>
        </w:tc>
        <w:tc>
          <w:tcPr>
            <w:tcW w:w="3402" w:type="dxa"/>
          </w:tcPr>
          <w:p w14:paraId="2B7E7BEE" w14:textId="77777777" w:rsidR="00476DC7" w:rsidRDefault="00476DC7" w:rsidP="002C4715">
            <w:r>
              <w:t>Number of P1s progressing to HL1</w:t>
            </w:r>
          </w:p>
        </w:tc>
        <w:tc>
          <w:tcPr>
            <w:tcW w:w="2442" w:type="dxa"/>
          </w:tcPr>
          <w:p w14:paraId="2E652417" w14:textId="77777777" w:rsidR="00476DC7" w:rsidRDefault="00476DC7" w:rsidP="002C4715">
            <w:r>
              <w:t>Reduce by 20%</w:t>
            </w:r>
          </w:p>
        </w:tc>
        <w:tc>
          <w:tcPr>
            <w:tcW w:w="1953" w:type="dxa"/>
          </w:tcPr>
          <w:p w14:paraId="79265CE5" w14:textId="77777777" w:rsidR="00476DC7" w:rsidRDefault="00476DC7" w:rsidP="002C4715">
            <w:r>
              <w:t xml:space="preserve">28% </w:t>
            </w:r>
          </w:p>
        </w:tc>
        <w:tc>
          <w:tcPr>
            <w:tcW w:w="3543" w:type="dxa"/>
          </w:tcPr>
          <w:p w14:paraId="4FC6B587" w14:textId="77777777" w:rsidR="00476DC7" w:rsidRDefault="00476DC7" w:rsidP="002C4715">
            <w:r>
              <w:t>39% (has reduced from 48% in 2021/22)</w:t>
            </w:r>
          </w:p>
        </w:tc>
        <w:tc>
          <w:tcPr>
            <w:tcW w:w="1479" w:type="dxa"/>
          </w:tcPr>
          <w:p w14:paraId="152ECB18" w14:textId="77777777" w:rsidR="00476DC7" w:rsidRDefault="00476DC7" w:rsidP="002C4715">
            <w:r>
              <w:t>HSCP</w:t>
            </w:r>
          </w:p>
        </w:tc>
      </w:tr>
      <w:tr w:rsidR="00476DC7" w14:paraId="42E2A3B1" w14:textId="77777777" w:rsidTr="002C4715">
        <w:tc>
          <w:tcPr>
            <w:tcW w:w="1129" w:type="dxa"/>
          </w:tcPr>
          <w:p w14:paraId="0184C511" w14:textId="77777777" w:rsidR="00476DC7" w:rsidRDefault="00476DC7" w:rsidP="002C4715">
            <w:r>
              <w:t>M1.5</w:t>
            </w:r>
          </w:p>
        </w:tc>
        <w:tc>
          <w:tcPr>
            <w:tcW w:w="3402" w:type="dxa"/>
          </w:tcPr>
          <w:p w14:paraId="5D88DBD0" w14:textId="77777777" w:rsidR="00476DC7" w:rsidRDefault="00476DC7" w:rsidP="002C4715">
            <w:r>
              <w:t xml:space="preserve">Number of homeless applications that resulted due to leaving an institution i.e., prison </w:t>
            </w:r>
          </w:p>
        </w:tc>
        <w:tc>
          <w:tcPr>
            <w:tcW w:w="2442" w:type="dxa"/>
          </w:tcPr>
          <w:p w14:paraId="6665B512" w14:textId="77777777" w:rsidR="00476DC7" w:rsidRDefault="00476DC7" w:rsidP="002C4715">
            <w:r>
              <w:t>Reduce by 15%</w:t>
            </w:r>
          </w:p>
        </w:tc>
        <w:tc>
          <w:tcPr>
            <w:tcW w:w="1953" w:type="dxa"/>
          </w:tcPr>
          <w:p w14:paraId="66E0582A" w14:textId="77777777" w:rsidR="00476DC7" w:rsidRDefault="00476DC7" w:rsidP="002C4715">
            <w:r>
              <w:t>33</w:t>
            </w:r>
          </w:p>
        </w:tc>
        <w:tc>
          <w:tcPr>
            <w:tcW w:w="3543" w:type="dxa"/>
          </w:tcPr>
          <w:p w14:paraId="47A34149" w14:textId="77777777" w:rsidR="00476DC7" w:rsidRPr="00EB2CED" w:rsidRDefault="00476DC7" w:rsidP="002C4715">
            <w:r>
              <w:t>24</w:t>
            </w:r>
          </w:p>
        </w:tc>
        <w:tc>
          <w:tcPr>
            <w:tcW w:w="1479" w:type="dxa"/>
          </w:tcPr>
          <w:p w14:paraId="5D0C7B4A" w14:textId="77777777" w:rsidR="00476DC7" w:rsidRDefault="00476DC7" w:rsidP="002C4715">
            <w:r>
              <w:t>HSCP</w:t>
            </w:r>
          </w:p>
        </w:tc>
      </w:tr>
    </w:tbl>
    <w:p w14:paraId="0BAEA707" w14:textId="77777777" w:rsidR="00476DC7" w:rsidRDefault="00476DC7" w:rsidP="00476DC7"/>
    <w:tbl>
      <w:tblPr>
        <w:tblStyle w:val="TableGrid"/>
        <w:tblW w:w="14029" w:type="dxa"/>
        <w:tblLook w:val="04A0" w:firstRow="1" w:lastRow="0" w:firstColumn="1" w:lastColumn="0" w:noHBand="0" w:noVBand="1"/>
      </w:tblPr>
      <w:tblGrid>
        <w:gridCol w:w="1129"/>
        <w:gridCol w:w="3402"/>
        <w:gridCol w:w="2410"/>
        <w:gridCol w:w="5528"/>
        <w:gridCol w:w="1560"/>
      </w:tblGrid>
      <w:tr w:rsidR="00476DC7" w14:paraId="4D930B60" w14:textId="77777777" w:rsidTr="002C4715">
        <w:tc>
          <w:tcPr>
            <w:tcW w:w="1129" w:type="dxa"/>
            <w:shd w:val="clear" w:color="auto" w:fill="DEEAF6" w:themeFill="accent1" w:themeFillTint="33"/>
          </w:tcPr>
          <w:p w14:paraId="464A7655" w14:textId="77777777" w:rsidR="00476DC7" w:rsidRDefault="00476DC7" w:rsidP="002C4715">
            <w:r>
              <w:t>Action No</w:t>
            </w:r>
          </w:p>
        </w:tc>
        <w:tc>
          <w:tcPr>
            <w:tcW w:w="3402" w:type="dxa"/>
            <w:shd w:val="clear" w:color="auto" w:fill="DEEAF6" w:themeFill="accent1" w:themeFillTint="33"/>
          </w:tcPr>
          <w:p w14:paraId="31AA7CF6" w14:textId="77777777" w:rsidR="00476DC7" w:rsidRDefault="00476DC7" w:rsidP="002C4715">
            <w:r>
              <w:t>Action</w:t>
            </w:r>
          </w:p>
        </w:tc>
        <w:tc>
          <w:tcPr>
            <w:tcW w:w="2410" w:type="dxa"/>
            <w:shd w:val="clear" w:color="auto" w:fill="DEEAF6" w:themeFill="accent1" w:themeFillTint="33"/>
          </w:tcPr>
          <w:p w14:paraId="7488BA49" w14:textId="77777777" w:rsidR="00476DC7" w:rsidRDefault="00476DC7" w:rsidP="002C4715">
            <w:r>
              <w:t xml:space="preserve">Target/Milestone </w:t>
            </w:r>
          </w:p>
        </w:tc>
        <w:tc>
          <w:tcPr>
            <w:tcW w:w="5528" w:type="dxa"/>
            <w:shd w:val="clear" w:color="auto" w:fill="DEEAF6" w:themeFill="accent1" w:themeFillTint="33"/>
          </w:tcPr>
          <w:p w14:paraId="3C5F8951" w14:textId="77777777" w:rsidR="00476DC7" w:rsidRDefault="00476DC7" w:rsidP="002C4715">
            <w:r>
              <w:t xml:space="preserve">Progress at 31 March 2023 </w:t>
            </w:r>
          </w:p>
        </w:tc>
        <w:tc>
          <w:tcPr>
            <w:tcW w:w="1560" w:type="dxa"/>
            <w:shd w:val="clear" w:color="auto" w:fill="DEEAF6" w:themeFill="accent1" w:themeFillTint="33"/>
          </w:tcPr>
          <w:p w14:paraId="3823B993" w14:textId="77777777" w:rsidR="00476DC7" w:rsidRDefault="00476DC7" w:rsidP="002C4715">
            <w:r>
              <w:t>Lead</w:t>
            </w:r>
          </w:p>
        </w:tc>
      </w:tr>
      <w:tr w:rsidR="00476DC7" w14:paraId="00B7BDE8" w14:textId="77777777" w:rsidTr="002C4715">
        <w:tc>
          <w:tcPr>
            <w:tcW w:w="1129" w:type="dxa"/>
          </w:tcPr>
          <w:p w14:paraId="1D284CF3" w14:textId="77777777" w:rsidR="00476DC7" w:rsidRDefault="00476DC7" w:rsidP="002C4715">
            <w:r>
              <w:t>A1.1</w:t>
            </w:r>
          </w:p>
        </w:tc>
        <w:tc>
          <w:tcPr>
            <w:tcW w:w="3402" w:type="dxa"/>
          </w:tcPr>
          <w:p w14:paraId="2E1CCF69" w14:textId="77777777" w:rsidR="00476DC7" w:rsidRDefault="00476DC7" w:rsidP="002C4715">
            <w:r>
              <w:t xml:space="preserve">Housing Options and Advice service – focusing on prevention </w:t>
            </w:r>
          </w:p>
        </w:tc>
        <w:tc>
          <w:tcPr>
            <w:tcW w:w="2410" w:type="dxa"/>
          </w:tcPr>
          <w:p w14:paraId="224DAD69" w14:textId="77777777" w:rsidR="00476DC7" w:rsidRDefault="00476DC7" w:rsidP="002C4715">
            <w:r>
              <w:t xml:space="preserve">Launch 2023/24 </w:t>
            </w:r>
          </w:p>
        </w:tc>
        <w:tc>
          <w:tcPr>
            <w:tcW w:w="5528" w:type="dxa"/>
          </w:tcPr>
          <w:p w14:paraId="19026CD0" w14:textId="77777777" w:rsidR="00476DC7" w:rsidRDefault="00476DC7" w:rsidP="002C4715">
            <w:r>
              <w:t xml:space="preserve">Robust action plan in place to rebrand the service as a Housing Options and Advice service </w:t>
            </w:r>
          </w:p>
        </w:tc>
        <w:tc>
          <w:tcPr>
            <w:tcW w:w="1560" w:type="dxa"/>
          </w:tcPr>
          <w:p w14:paraId="0D152EF9" w14:textId="77777777" w:rsidR="00476DC7" w:rsidRDefault="00476DC7" w:rsidP="002C4715">
            <w:r>
              <w:t>HSCP</w:t>
            </w:r>
          </w:p>
        </w:tc>
      </w:tr>
      <w:tr w:rsidR="00476DC7" w14:paraId="7EB274D7" w14:textId="77777777" w:rsidTr="002C4715">
        <w:tc>
          <w:tcPr>
            <w:tcW w:w="1129" w:type="dxa"/>
          </w:tcPr>
          <w:p w14:paraId="23FD30A5" w14:textId="77777777" w:rsidR="00476DC7" w:rsidRDefault="00476DC7" w:rsidP="002C4715">
            <w:r>
              <w:t>A1.2</w:t>
            </w:r>
          </w:p>
        </w:tc>
        <w:tc>
          <w:tcPr>
            <w:tcW w:w="3402" w:type="dxa"/>
          </w:tcPr>
          <w:p w14:paraId="433FE8BC" w14:textId="77777777" w:rsidR="00476DC7" w:rsidRDefault="00476DC7" w:rsidP="002C4715">
            <w:r>
              <w:t xml:space="preserve">Prevention Mapping undertaken by RRTP Steering Group </w:t>
            </w:r>
          </w:p>
        </w:tc>
        <w:tc>
          <w:tcPr>
            <w:tcW w:w="2410" w:type="dxa"/>
          </w:tcPr>
          <w:p w14:paraId="05D03B85" w14:textId="77777777" w:rsidR="00476DC7" w:rsidRDefault="00476DC7" w:rsidP="002C4715">
            <w:r>
              <w:t>Complete March 2024</w:t>
            </w:r>
          </w:p>
        </w:tc>
        <w:tc>
          <w:tcPr>
            <w:tcW w:w="5528" w:type="dxa"/>
          </w:tcPr>
          <w:p w14:paraId="20881690" w14:textId="77777777" w:rsidR="00476DC7" w:rsidRDefault="00476DC7" w:rsidP="002C4715">
            <w:r>
              <w:t>R</w:t>
            </w:r>
            <w:r w:rsidRPr="00A1739B">
              <w:t>ecommendations</w:t>
            </w:r>
            <w:r>
              <w:t xml:space="preserve"> have been </w:t>
            </w:r>
            <w:r w:rsidRPr="00A1739B">
              <w:t>made</w:t>
            </w:r>
            <w:r>
              <w:t>,</w:t>
            </w:r>
            <w:r w:rsidRPr="00A1739B">
              <w:t xml:space="preserve"> including an addition to RSL Tenancy Abandonment Process, requiring that RSLs inform the Homeless Service when they begin abandonment procedures</w:t>
            </w:r>
          </w:p>
        </w:tc>
        <w:tc>
          <w:tcPr>
            <w:tcW w:w="1560" w:type="dxa"/>
          </w:tcPr>
          <w:p w14:paraId="1FD66376" w14:textId="77777777" w:rsidR="00476DC7" w:rsidRDefault="00476DC7" w:rsidP="002C4715">
            <w:r>
              <w:t>HSCP</w:t>
            </w:r>
          </w:p>
        </w:tc>
      </w:tr>
      <w:tr w:rsidR="00476DC7" w14:paraId="77ED91E4" w14:textId="77777777" w:rsidTr="002C4715">
        <w:tc>
          <w:tcPr>
            <w:tcW w:w="1129" w:type="dxa"/>
          </w:tcPr>
          <w:p w14:paraId="1F39472E" w14:textId="77777777" w:rsidR="00476DC7" w:rsidRDefault="00476DC7" w:rsidP="002C4715">
            <w:r>
              <w:t>A1.3</w:t>
            </w:r>
          </w:p>
        </w:tc>
        <w:tc>
          <w:tcPr>
            <w:tcW w:w="3402" w:type="dxa"/>
          </w:tcPr>
          <w:p w14:paraId="736C78EA" w14:textId="77777777" w:rsidR="00476DC7" w:rsidRDefault="00476DC7" w:rsidP="002C4715">
            <w:r>
              <w:t xml:space="preserve">Improving links with prison (early intervention work) </w:t>
            </w:r>
          </w:p>
        </w:tc>
        <w:tc>
          <w:tcPr>
            <w:tcW w:w="2410" w:type="dxa"/>
          </w:tcPr>
          <w:p w14:paraId="2367949B" w14:textId="77777777" w:rsidR="00476DC7" w:rsidRDefault="00476DC7" w:rsidP="002C4715">
            <w:r>
              <w:t>Link to M1.5</w:t>
            </w:r>
          </w:p>
        </w:tc>
        <w:tc>
          <w:tcPr>
            <w:tcW w:w="5528" w:type="dxa"/>
          </w:tcPr>
          <w:p w14:paraId="57BCD1DA" w14:textId="77777777" w:rsidR="00476DC7" w:rsidRDefault="00476DC7" w:rsidP="002C4715">
            <w:r>
              <w:t xml:space="preserve">A contact from our local prison attends regular subgroup meetings – maintaining close links </w:t>
            </w:r>
          </w:p>
        </w:tc>
        <w:tc>
          <w:tcPr>
            <w:tcW w:w="1560" w:type="dxa"/>
          </w:tcPr>
          <w:p w14:paraId="01CB8658" w14:textId="77777777" w:rsidR="00476DC7" w:rsidRDefault="00476DC7" w:rsidP="002C4715">
            <w:r>
              <w:t>HSCP</w:t>
            </w:r>
          </w:p>
        </w:tc>
      </w:tr>
    </w:tbl>
    <w:p w14:paraId="7002D34F" w14:textId="77777777" w:rsidR="00476DC7" w:rsidRDefault="00476DC7" w:rsidP="00476DC7"/>
    <w:p w14:paraId="37717BCE" w14:textId="77777777" w:rsidR="00476DC7" w:rsidRPr="00501F53" w:rsidRDefault="00476DC7" w:rsidP="00476DC7">
      <w:pPr>
        <w:rPr>
          <w:b/>
          <w:i/>
        </w:rPr>
      </w:pPr>
      <w:r w:rsidRPr="00501F53">
        <w:rPr>
          <w:b/>
          <w:i/>
        </w:rPr>
        <w:t>Objective 2: Enable service users with no/low support needs to access settled housing quickly</w:t>
      </w:r>
    </w:p>
    <w:tbl>
      <w:tblPr>
        <w:tblStyle w:val="TableGrid"/>
        <w:tblW w:w="14170" w:type="dxa"/>
        <w:tblLook w:val="04A0" w:firstRow="1" w:lastRow="0" w:firstColumn="1" w:lastColumn="0" w:noHBand="0" w:noVBand="1"/>
      </w:tblPr>
      <w:tblGrid>
        <w:gridCol w:w="1129"/>
        <w:gridCol w:w="3402"/>
        <w:gridCol w:w="2442"/>
        <w:gridCol w:w="1953"/>
        <w:gridCol w:w="3543"/>
        <w:gridCol w:w="1701"/>
      </w:tblGrid>
      <w:tr w:rsidR="00476DC7" w14:paraId="23F7A0AA" w14:textId="77777777" w:rsidTr="002C4715">
        <w:tc>
          <w:tcPr>
            <w:tcW w:w="1129" w:type="dxa"/>
            <w:shd w:val="clear" w:color="auto" w:fill="DEEAF6" w:themeFill="accent1" w:themeFillTint="33"/>
          </w:tcPr>
          <w:p w14:paraId="17A75C4A" w14:textId="77777777" w:rsidR="00476DC7" w:rsidRDefault="00476DC7" w:rsidP="002C4715">
            <w:r>
              <w:t>Measure No</w:t>
            </w:r>
          </w:p>
        </w:tc>
        <w:tc>
          <w:tcPr>
            <w:tcW w:w="3402" w:type="dxa"/>
            <w:shd w:val="clear" w:color="auto" w:fill="DEEAF6" w:themeFill="accent1" w:themeFillTint="33"/>
          </w:tcPr>
          <w:p w14:paraId="0A8C3D2E" w14:textId="77777777" w:rsidR="00476DC7" w:rsidRDefault="00476DC7" w:rsidP="002C4715">
            <w:r>
              <w:t>Measure</w:t>
            </w:r>
          </w:p>
        </w:tc>
        <w:tc>
          <w:tcPr>
            <w:tcW w:w="2442" w:type="dxa"/>
            <w:shd w:val="clear" w:color="auto" w:fill="DEEAF6" w:themeFill="accent1" w:themeFillTint="33"/>
          </w:tcPr>
          <w:p w14:paraId="4113CD53" w14:textId="77777777" w:rsidR="00476DC7" w:rsidRDefault="00476DC7" w:rsidP="002C4715">
            <w:r>
              <w:t xml:space="preserve">Target </w:t>
            </w:r>
          </w:p>
        </w:tc>
        <w:tc>
          <w:tcPr>
            <w:tcW w:w="1953" w:type="dxa"/>
            <w:shd w:val="clear" w:color="auto" w:fill="DEEAF6" w:themeFill="accent1" w:themeFillTint="33"/>
          </w:tcPr>
          <w:p w14:paraId="2FB8CB29" w14:textId="77777777" w:rsidR="00476DC7" w:rsidRDefault="00476DC7" w:rsidP="002C4715">
            <w:r>
              <w:t>RRTP baseline</w:t>
            </w:r>
          </w:p>
        </w:tc>
        <w:tc>
          <w:tcPr>
            <w:tcW w:w="3543" w:type="dxa"/>
            <w:shd w:val="clear" w:color="auto" w:fill="DEEAF6" w:themeFill="accent1" w:themeFillTint="33"/>
          </w:tcPr>
          <w:p w14:paraId="5F56ADD9" w14:textId="77777777" w:rsidR="00476DC7" w:rsidRDefault="00476DC7" w:rsidP="002C4715">
            <w:r>
              <w:t>Progress at 31 March 2023</w:t>
            </w:r>
          </w:p>
        </w:tc>
        <w:tc>
          <w:tcPr>
            <w:tcW w:w="1701" w:type="dxa"/>
            <w:shd w:val="clear" w:color="auto" w:fill="DEEAF6" w:themeFill="accent1" w:themeFillTint="33"/>
          </w:tcPr>
          <w:p w14:paraId="1B584263" w14:textId="77777777" w:rsidR="00476DC7" w:rsidRDefault="00476DC7" w:rsidP="002C4715">
            <w:r>
              <w:t>Lead</w:t>
            </w:r>
          </w:p>
        </w:tc>
      </w:tr>
      <w:tr w:rsidR="00476DC7" w14:paraId="60D2FBEC" w14:textId="77777777" w:rsidTr="002C4715">
        <w:tc>
          <w:tcPr>
            <w:tcW w:w="1129" w:type="dxa"/>
          </w:tcPr>
          <w:p w14:paraId="6DDB6548" w14:textId="77777777" w:rsidR="00476DC7" w:rsidRDefault="00476DC7" w:rsidP="002C4715">
            <w:r>
              <w:t>M2.1</w:t>
            </w:r>
          </w:p>
        </w:tc>
        <w:tc>
          <w:tcPr>
            <w:tcW w:w="3402" w:type="dxa"/>
          </w:tcPr>
          <w:p w14:paraId="14C97EF5" w14:textId="77777777" w:rsidR="00476DC7" w:rsidRDefault="00476DC7" w:rsidP="002C4715">
            <w:r>
              <w:t xml:space="preserve">Average time spent in temporary accommodation </w:t>
            </w:r>
          </w:p>
        </w:tc>
        <w:tc>
          <w:tcPr>
            <w:tcW w:w="2442" w:type="dxa"/>
          </w:tcPr>
          <w:p w14:paraId="111843F7" w14:textId="77777777" w:rsidR="00476DC7" w:rsidRDefault="00476DC7" w:rsidP="002C4715">
            <w:r>
              <w:t>Reduce by 10-20%</w:t>
            </w:r>
          </w:p>
        </w:tc>
        <w:tc>
          <w:tcPr>
            <w:tcW w:w="1953" w:type="dxa"/>
          </w:tcPr>
          <w:p w14:paraId="6AF40EBA" w14:textId="77777777" w:rsidR="00476DC7" w:rsidRDefault="00476DC7" w:rsidP="002C4715">
            <w:r>
              <w:t>116</w:t>
            </w:r>
          </w:p>
        </w:tc>
        <w:tc>
          <w:tcPr>
            <w:tcW w:w="3543" w:type="dxa"/>
          </w:tcPr>
          <w:p w14:paraId="2FE5F806" w14:textId="77777777" w:rsidR="00476DC7" w:rsidRDefault="00476DC7" w:rsidP="002C4715">
            <w:r>
              <w:t>113 days (reduced by 18% from 2021/22)</w:t>
            </w:r>
          </w:p>
        </w:tc>
        <w:tc>
          <w:tcPr>
            <w:tcW w:w="1701" w:type="dxa"/>
          </w:tcPr>
          <w:p w14:paraId="2468BACC" w14:textId="77777777" w:rsidR="00476DC7" w:rsidRDefault="00476DC7" w:rsidP="002C4715">
            <w:r>
              <w:t>HSCP</w:t>
            </w:r>
          </w:p>
        </w:tc>
      </w:tr>
      <w:tr w:rsidR="00476DC7" w14:paraId="6175C26A" w14:textId="77777777" w:rsidTr="002C4715">
        <w:tc>
          <w:tcPr>
            <w:tcW w:w="1129" w:type="dxa"/>
          </w:tcPr>
          <w:p w14:paraId="19178872" w14:textId="77777777" w:rsidR="00476DC7" w:rsidRDefault="00476DC7" w:rsidP="002C4715">
            <w:r>
              <w:lastRenderedPageBreak/>
              <w:t>M2.2</w:t>
            </w:r>
          </w:p>
        </w:tc>
        <w:tc>
          <w:tcPr>
            <w:tcW w:w="3402" w:type="dxa"/>
          </w:tcPr>
          <w:p w14:paraId="36DA2C9F" w14:textId="77777777" w:rsidR="00476DC7" w:rsidRDefault="00476DC7" w:rsidP="002C4715">
            <w:r>
              <w:t xml:space="preserve">Allocated social rented properties to homeless applications </w:t>
            </w:r>
          </w:p>
        </w:tc>
        <w:tc>
          <w:tcPr>
            <w:tcW w:w="2442" w:type="dxa"/>
          </w:tcPr>
          <w:p w14:paraId="6AEE93DF" w14:textId="77777777" w:rsidR="00476DC7" w:rsidRDefault="00476DC7" w:rsidP="002C4715">
            <w:r>
              <w:t>Increase by 5%</w:t>
            </w:r>
          </w:p>
        </w:tc>
        <w:tc>
          <w:tcPr>
            <w:tcW w:w="1953" w:type="dxa"/>
          </w:tcPr>
          <w:p w14:paraId="5DABB01F" w14:textId="77777777" w:rsidR="00476DC7" w:rsidRDefault="00476DC7" w:rsidP="002C4715"/>
        </w:tc>
        <w:tc>
          <w:tcPr>
            <w:tcW w:w="3543" w:type="dxa"/>
          </w:tcPr>
          <w:p w14:paraId="1E90747F" w14:textId="77777777" w:rsidR="00476DC7" w:rsidRDefault="00476DC7" w:rsidP="002C4715">
            <w:r>
              <w:t>14%</w:t>
            </w:r>
          </w:p>
        </w:tc>
        <w:tc>
          <w:tcPr>
            <w:tcW w:w="1701" w:type="dxa"/>
          </w:tcPr>
          <w:p w14:paraId="26D200CF" w14:textId="77777777" w:rsidR="00476DC7" w:rsidRPr="006C4D82" w:rsidRDefault="00476DC7" w:rsidP="002C4715">
            <w:pPr>
              <w:rPr>
                <w:b/>
                <w:bCs/>
              </w:rPr>
            </w:pPr>
            <w:r>
              <w:t>HSCP</w:t>
            </w:r>
          </w:p>
        </w:tc>
      </w:tr>
      <w:tr w:rsidR="00476DC7" w14:paraId="5FF8AE2C" w14:textId="77777777" w:rsidTr="002C4715">
        <w:tc>
          <w:tcPr>
            <w:tcW w:w="1129" w:type="dxa"/>
          </w:tcPr>
          <w:p w14:paraId="7DB045B4" w14:textId="77777777" w:rsidR="00476DC7" w:rsidRDefault="00476DC7" w:rsidP="002C4715">
            <w:r>
              <w:t>M2.3</w:t>
            </w:r>
          </w:p>
        </w:tc>
        <w:tc>
          <w:tcPr>
            <w:tcW w:w="3402" w:type="dxa"/>
          </w:tcPr>
          <w:p w14:paraId="6E6F0B7D" w14:textId="77777777" w:rsidR="00476DC7" w:rsidRDefault="00476DC7" w:rsidP="002C4715">
            <w:r>
              <w:t>Number of HF households being supported by RRST</w:t>
            </w:r>
          </w:p>
        </w:tc>
        <w:tc>
          <w:tcPr>
            <w:tcW w:w="2442" w:type="dxa"/>
          </w:tcPr>
          <w:p w14:paraId="3518B96A" w14:textId="77777777" w:rsidR="00476DC7" w:rsidRDefault="00476DC7" w:rsidP="002C4715">
            <w:r>
              <w:t>Increase by 10%</w:t>
            </w:r>
          </w:p>
        </w:tc>
        <w:tc>
          <w:tcPr>
            <w:tcW w:w="1953" w:type="dxa"/>
          </w:tcPr>
          <w:p w14:paraId="108DECDB" w14:textId="77777777" w:rsidR="00476DC7" w:rsidRDefault="00476DC7" w:rsidP="002C4715"/>
        </w:tc>
        <w:tc>
          <w:tcPr>
            <w:tcW w:w="3543" w:type="dxa"/>
          </w:tcPr>
          <w:p w14:paraId="2FC43CC4" w14:textId="77777777" w:rsidR="00476DC7" w:rsidRDefault="00476DC7" w:rsidP="002C4715">
            <w:r>
              <w:t>36</w:t>
            </w:r>
          </w:p>
        </w:tc>
        <w:tc>
          <w:tcPr>
            <w:tcW w:w="1701" w:type="dxa"/>
          </w:tcPr>
          <w:p w14:paraId="165BEF51" w14:textId="77777777" w:rsidR="00476DC7" w:rsidRDefault="00476DC7" w:rsidP="002C4715">
            <w:r>
              <w:t>HSCP</w:t>
            </w:r>
          </w:p>
        </w:tc>
      </w:tr>
      <w:tr w:rsidR="00476DC7" w14:paraId="1EC1E6F9" w14:textId="77777777" w:rsidTr="002C4715">
        <w:tc>
          <w:tcPr>
            <w:tcW w:w="1129" w:type="dxa"/>
          </w:tcPr>
          <w:p w14:paraId="623EAD37" w14:textId="77777777" w:rsidR="00476DC7" w:rsidRDefault="00476DC7" w:rsidP="002C4715">
            <w:r>
              <w:t>M2.4</w:t>
            </w:r>
          </w:p>
        </w:tc>
        <w:tc>
          <w:tcPr>
            <w:tcW w:w="3402" w:type="dxa"/>
          </w:tcPr>
          <w:p w14:paraId="19881204" w14:textId="77777777" w:rsidR="00476DC7" w:rsidRDefault="00476DC7" w:rsidP="002C4715">
            <w:r w:rsidRPr="008F0ABB">
              <w:t>Number of households being supported by RRST</w:t>
            </w:r>
          </w:p>
        </w:tc>
        <w:tc>
          <w:tcPr>
            <w:tcW w:w="2442" w:type="dxa"/>
          </w:tcPr>
          <w:p w14:paraId="1427E0AC" w14:textId="77777777" w:rsidR="00476DC7" w:rsidRDefault="00476DC7" w:rsidP="002C4715">
            <w:r>
              <w:t>Maintain at 56</w:t>
            </w:r>
          </w:p>
        </w:tc>
        <w:tc>
          <w:tcPr>
            <w:tcW w:w="1953" w:type="dxa"/>
          </w:tcPr>
          <w:p w14:paraId="58E2E952" w14:textId="77777777" w:rsidR="00476DC7" w:rsidRDefault="00476DC7" w:rsidP="002C4715"/>
        </w:tc>
        <w:tc>
          <w:tcPr>
            <w:tcW w:w="3543" w:type="dxa"/>
          </w:tcPr>
          <w:p w14:paraId="141DC988" w14:textId="77777777" w:rsidR="00476DC7" w:rsidRDefault="00476DC7" w:rsidP="002C4715">
            <w:r>
              <w:t>37</w:t>
            </w:r>
          </w:p>
        </w:tc>
        <w:tc>
          <w:tcPr>
            <w:tcW w:w="1701" w:type="dxa"/>
          </w:tcPr>
          <w:p w14:paraId="55C9189B" w14:textId="77777777" w:rsidR="00476DC7" w:rsidRDefault="00476DC7" w:rsidP="002C4715">
            <w:r>
              <w:t>HSCP</w:t>
            </w:r>
          </w:p>
        </w:tc>
      </w:tr>
      <w:tr w:rsidR="00476DC7" w14:paraId="3D07E2E3" w14:textId="77777777" w:rsidTr="002C4715">
        <w:tc>
          <w:tcPr>
            <w:tcW w:w="1129" w:type="dxa"/>
          </w:tcPr>
          <w:p w14:paraId="0FC6B12E" w14:textId="77777777" w:rsidR="00476DC7" w:rsidRDefault="00476DC7" w:rsidP="002C4715">
            <w:r>
              <w:t>M2.5</w:t>
            </w:r>
          </w:p>
        </w:tc>
        <w:tc>
          <w:tcPr>
            <w:tcW w:w="3402" w:type="dxa"/>
          </w:tcPr>
          <w:p w14:paraId="5487F991" w14:textId="77777777" w:rsidR="00476DC7" w:rsidRDefault="00476DC7" w:rsidP="002C4715">
            <w:r>
              <w:t>Number of households being supported by 3</w:t>
            </w:r>
            <w:r w:rsidRPr="000F384A">
              <w:rPr>
                <w:vertAlign w:val="superscript"/>
              </w:rPr>
              <w:t>rd</w:t>
            </w:r>
            <w:r>
              <w:t xml:space="preserve"> sector </w:t>
            </w:r>
          </w:p>
        </w:tc>
        <w:tc>
          <w:tcPr>
            <w:tcW w:w="2442" w:type="dxa"/>
          </w:tcPr>
          <w:p w14:paraId="7F7E10EE" w14:textId="77777777" w:rsidR="00476DC7" w:rsidRDefault="00476DC7" w:rsidP="002C4715">
            <w:r>
              <w:t>Decrease by 100%</w:t>
            </w:r>
          </w:p>
        </w:tc>
        <w:tc>
          <w:tcPr>
            <w:tcW w:w="1953" w:type="dxa"/>
          </w:tcPr>
          <w:p w14:paraId="225C71D3" w14:textId="77777777" w:rsidR="00476DC7" w:rsidRDefault="00476DC7" w:rsidP="002C4715"/>
        </w:tc>
        <w:tc>
          <w:tcPr>
            <w:tcW w:w="3543" w:type="dxa"/>
          </w:tcPr>
          <w:p w14:paraId="4F876CC4" w14:textId="77777777" w:rsidR="00476DC7" w:rsidRDefault="00476DC7" w:rsidP="002C4715">
            <w:r>
              <w:t>5</w:t>
            </w:r>
          </w:p>
        </w:tc>
        <w:tc>
          <w:tcPr>
            <w:tcW w:w="1701" w:type="dxa"/>
          </w:tcPr>
          <w:p w14:paraId="19646F20" w14:textId="77777777" w:rsidR="00476DC7" w:rsidRDefault="00476DC7" w:rsidP="002C4715">
            <w:r>
              <w:t>HSCP</w:t>
            </w:r>
          </w:p>
        </w:tc>
      </w:tr>
      <w:tr w:rsidR="00476DC7" w14:paraId="30C295AF" w14:textId="77777777" w:rsidTr="002C4715">
        <w:tc>
          <w:tcPr>
            <w:tcW w:w="1129" w:type="dxa"/>
          </w:tcPr>
          <w:p w14:paraId="7297E425" w14:textId="77777777" w:rsidR="00476DC7" w:rsidRDefault="00476DC7" w:rsidP="002C4715">
            <w:r>
              <w:t>M2.6</w:t>
            </w:r>
          </w:p>
        </w:tc>
        <w:tc>
          <w:tcPr>
            <w:tcW w:w="3402" w:type="dxa"/>
          </w:tcPr>
          <w:p w14:paraId="48185CCC" w14:textId="77777777" w:rsidR="00476DC7" w:rsidRDefault="00476DC7" w:rsidP="002C4715">
            <w:r>
              <w:t xml:space="preserve">Number of Housing First cases </w:t>
            </w:r>
          </w:p>
        </w:tc>
        <w:tc>
          <w:tcPr>
            <w:tcW w:w="2442" w:type="dxa"/>
          </w:tcPr>
          <w:p w14:paraId="69ACD39A" w14:textId="77777777" w:rsidR="00476DC7" w:rsidRDefault="00476DC7" w:rsidP="002C4715">
            <w:r>
              <w:t>Increase to 56</w:t>
            </w:r>
          </w:p>
        </w:tc>
        <w:tc>
          <w:tcPr>
            <w:tcW w:w="1953" w:type="dxa"/>
          </w:tcPr>
          <w:p w14:paraId="263E9E74" w14:textId="77777777" w:rsidR="00476DC7" w:rsidRDefault="00476DC7" w:rsidP="002C4715"/>
        </w:tc>
        <w:tc>
          <w:tcPr>
            <w:tcW w:w="3543" w:type="dxa"/>
          </w:tcPr>
          <w:p w14:paraId="4B518402" w14:textId="77777777" w:rsidR="00476DC7" w:rsidRDefault="00476DC7" w:rsidP="002C4715">
            <w:r>
              <w:t>41</w:t>
            </w:r>
          </w:p>
        </w:tc>
        <w:tc>
          <w:tcPr>
            <w:tcW w:w="1701" w:type="dxa"/>
          </w:tcPr>
          <w:p w14:paraId="11421F97" w14:textId="77777777" w:rsidR="00476DC7" w:rsidRDefault="00476DC7" w:rsidP="002C4715">
            <w:r>
              <w:t>HSCP</w:t>
            </w:r>
          </w:p>
        </w:tc>
      </w:tr>
      <w:tr w:rsidR="00476DC7" w14:paraId="3AC0F612" w14:textId="77777777" w:rsidTr="002C4715">
        <w:tc>
          <w:tcPr>
            <w:tcW w:w="1129" w:type="dxa"/>
          </w:tcPr>
          <w:p w14:paraId="33F52C66" w14:textId="77777777" w:rsidR="00476DC7" w:rsidRDefault="00476DC7" w:rsidP="002C4715">
            <w:r>
              <w:t>M2.7</w:t>
            </w:r>
          </w:p>
        </w:tc>
        <w:tc>
          <w:tcPr>
            <w:tcW w:w="3402" w:type="dxa"/>
          </w:tcPr>
          <w:p w14:paraId="5FB50604" w14:textId="77777777" w:rsidR="00476DC7" w:rsidRDefault="00476DC7" w:rsidP="002C4715">
            <w:r>
              <w:t xml:space="preserve">Number of households who spend more than 12 months in temporary accommodation </w:t>
            </w:r>
          </w:p>
        </w:tc>
        <w:tc>
          <w:tcPr>
            <w:tcW w:w="2442" w:type="dxa"/>
          </w:tcPr>
          <w:p w14:paraId="3EB4B3CD" w14:textId="77777777" w:rsidR="00476DC7" w:rsidRDefault="00476DC7" w:rsidP="002C4715">
            <w:r>
              <w:t>Reduce by 20%</w:t>
            </w:r>
          </w:p>
        </w:tc>
        <w:tc>
          <w:tcPr>
            <w:tcW w:w="1953" w:type="dxa"/>
          </w:tcPr>
          <w:p w14:paraId="35628BFA" w14:textId="77777777" w:rsidR="00476DC7" w:rsidRDefault="00476DC7" w:rsidP="002C4715"/>
        </w:tc>
        <w:tc>
          <w:tcPr>
            <w:tcW w:w="3543" w:type="dxa"/>
          </w:tcPr>
          <w:p w14:paraId="20A0BAC2" w14:textId="77777777" w:rsidR="00476DC7" w:rsidRDefault="00476DC7" w:rsidP="002C4715">
            <w:r>
              <w:t>Reduced by 21%</w:t>
            </w:r>
          </w:p>
        </w:tc>
        <w:tc>
          <w:tcPr>
            <w:tcW w:w="1701" w:type="dxa"/>
          </w:tcPr>
          <w:p w14:paraId="51295C26" w14:textId="77777777" w:rsidR="00476DC7" w:rsidRPr="006C4D82" w:rsidRDefault="00476DC7" w:rsidP="002C4715">
            <w:pPr>
              <w:rPr>
                <w:b/>
                <w:bCs/>
              </w:rPr>
            </w:pPr>
            <w:r>
              <w:t>HSCP</w:t>
            </w:r>
          </w:p>
        </w:tc>
      </w:tr>
    </w:tbl>
    <w:p w14:paraId="17ACE955" w14:textId="77777777" w:rsidR="00476DC7" w:rsidRDefault="00476DC7" w:rsidP="00476DC7"/>
    <w:tbl>
      <w:tblPr>
        <w:tblStyle w:val="TableGrid"/>
        <w:tblW w:w="14029" w:type="dxa"/>
        <w:tblLook w:val="04A0" w:firstRow="1" w:lastRow="0" w:firstColumn="1" w:lastColumn="0" w:noHBand="0" w:noVBand="1"/>
      </w:tblPr>
      <w:tblGrid>
        <w:gridCol w:w="1129"/>
        <w:gridCol w:w="3402"/>
        <w:gridCol w:w="2410"/>
        <w:gridCol w:w="5528"/>
        <w:gridCol w:w="1560"/>
      </w:tblGrid>
      <w:tr w:rsidR="00476DC7" w14:paraId="4F6A196D" w14:textId="77777777" w:rsidTr="002C4715">
        <w:tc>
          <w:tcPr>
            <w:tcW w:w="1129" w:type="dxa"/>
            <w:shd w:val="clear" w:color="auto" w:fill="DEEAF6" w:themeFill="accent1" w:themeFillTint="33"/>
          </w:tcPr>
          <w:p w14:paraId="5F801EB8" w14:textId="77777777" w:rsidR="00476DC7" w:rsidRDefault="00476DC7" w:rsidP="002C4715">
            <w:r>
              <w:t>Action No</w:t>
            </w:r>
          </w:p>
        </w:tc>
        <w:tc>
          <w:tcPr>
            <w:tcW w:w="3402" w:type="dxa"/>
            <w:shd w:val="clear" w:color="auto" w:fill="DEEAF6" w:themeFill="accent1" w:themeFillTint="33"/>
          </w:tcPr>
          <w:p w14:paraId="51276590" w14:textId="77777777" w:rsidR="00476DC7" w:rsidRDefault="00476DC7" w:rsidP="002C4715">
            <w:r>
              <w:t>Action</w:t>
            </w:r>
          </w:p>
        </w:tc>
        <w:tc>
          <w:tcPr>
            <w:tcW w:w="2410" w:type="dxa"/>
            <w:shd w:val="clear" w:color="auto" w:fill="DEEAF6" w:themeFill="accent1" w:themeFillTint="33"/>
          </w:tcPr>
          <w:p w14:paraId="6F7034A7" w14:textId="77777777" w:rsidR="00476DC7" w:rsidRDefault="00476DC7" w:rsidP="002C4715">
            <w:r>
              <w:t xml:space="preserve">Target/Milestone </w:t>
            </w:r>
          </w:p>
        </w:tc>
        <w:tc>
          <w:tcPr>
            <w:tcW w:w="5528" w:type="dxa"/>
            <w:shd w:val="clear" w:color="auto" w:fill="DEEAF6" w:themeFill="accent1" w:themeFillTint="33"/>
          </w:tcPr>
          <w:p w14:paraId="3EA0E7B9" w14:textId="77777777" w:rsidR="00476DC7" w:rsidRDefault="00476DC7" w:rsidP="002C4715">
            <w:r>
              <w:t xml:space="preserve">Progress at 31 March 2023 </w:t>
            </w:r>
          </w:p>
        </w:tc>
        <w:tc>
          <w:tcPr>
            <w:tcW w:w="1560" w:type="dxa"/>
            <w:shd w:val="clear" w:color="auto" w:fill="DEEAF6" w:themeFill="accent1" w:themeFillTint="33"/>
          </w:tcPr>
          <w:p w14:paraId="3DE68431" w14:textId="77777777" w:rsidR="00476DC7" w:rsidRDefault="00476DC7" w:rsidP="002C4715">
            <w:r>
              <w:t>Lead</w:t>
            </w:r>
          </w:p>
        </w:tc>
      </w:tr>
      <w:tr w:rsidR="00476DC7" w14:paraId="0BC39C17" w14:textId="77777777" w:rsidTr="002C4715">
        <w:tc>
          <w:tcPr>
            <w:tcW w:w="1129" w:type="dxa"/>
          </w:tcPr>
          <w:p w14:paraId="345E4B55" w14:textId="77777777" w:rsidR="00476DC7" w:rsidRDefault="00476DC7" w:rsidP="002C4715">
            <w:r>
              <w:t>A2.1</w:t>
            </w:r>
          </w:p>
        </w:tc>
        <w:tc>
          <w:tcPr>
            <w:tcW w:w="3402" w:type="dxa"/>
          </w:tcPr>
          <w:p w14:paraId="207CC277" w14:textId="77777777" w:rsidR="00476DC7" w:rsidRDefault="00476DC7" w:rsidP="002C4715">
            <w:r>
              <w:t xml:space="preserve">In-house support team, focusing on both complex cases and clients with lower support needs </w:t>
            </w:r>
          </w:p>
        </w:tc>
        <w:tc>
          <w:tcPr>
            <w:tcW w:w="2410" w:type="dxa"/>
          </w:tcPr>
          <w:p w14:paraId="6D3D06C0" w14:textId="77777777" w:rsidR="00476DC7" w:rsidRDefault="00476DC7" w:rsidP="002C4715">
            <w:r>
              <w:t>Maintain Capacity</w:t>
            </w:r>
          </w:p>
        </w:tc>
        <w:tc>
          <w:tcPr>
            <w:tcW w:w="5528" w:type="dxa"/>
          </w:tcPr>
          <w:p w14:paraId="5938E471" w14:textId="77777777" w:rsidR="00476DC7" w:rsidRDefault="00476DC7" w:rsidP="002C4715">
            <w:r w:rsidRPr="006123A4">
              <w:t>At present the service is supporting 37 homeless households 36 of which are Housing First cases.</w:t>
            </w:r>
          </w:p>
        </w:tc>
        <w:tc>
          <w:tcPr>
            <w:tcW w:w="1560" w:type="dxa"/>
          </w:tcPr>
          <w:p w14:paraId="76A0A414" w14:textId="77777777" w:rsidR="00476DC7" w:rsidRDefault="00476DC7" w:rsidP="002C4715">
            <w:r>
              <w:t>HSCP</w:t>
            </w:r>
          </w:p>
        </w:tc>
      </w:tr>
      <w:tr w:rsidR="00476DC7" w14:paraId="5234C68A" w14:textId="77777777" w:rsidTr="002C4715">
        <w:tc>
          <w:tcPr>
            <w:tcW w:w="1129" w:type="dxa"/>
          </w:tcPr>
          <w:p w14:paraId="6A47C58A" w14:textId="77777777" w:rsidR="00476DC7" w:rsidRDefault="00476DC7" w:rsidP="002C4715">
            <w:r>
              <w:t>A2.2</w:t>
            </w:r>
          </w:p>
        </w:tc>
        <w:tc>
          <w:tcPr>
            <w:tcW w:w="3402" w:type="dxa"/>
          </w:tcPr>
          <w:p w14:paraId="5E723F42" w14:textId="77777777" w:rsidR="00476DC7" w:rsidRDefault="00476DC7" w:rsidP="002C4715">
            <w:r>
              <w:t xml:space="preserve">Work closely with Private Rented Sector to provide settled accommodation </w:t>
            </w:r>
          </w:p>
        </w:tc>
        <w:tc>
          <w:tcPr>
            <w:tcW w:w="2410" w:type="dxa"/>
          </w:tcPr>
          <w:p w14:paraId="5FF1B80B" w14:textId="77777777" w:rsidR="00476DC7" w:rsidRDefault="00476DC7" w:rsidP="002C4715">
            <w:r>
              <w:t>2 Landlord Forums per year</w:t>
            </w:r>
          </w:p>
        </w:tc>
        <w:tc>
          <w:tcPr>
            <w:tcW w:w="5528" w:type="dxa"/>
          </w:tcPr>
          <w:p w14:paraId="572E5B81" w14:textId="77777777" w:rsidR="00476DC7" w:rsidRDefault="00476DC7" w:rsidP="002C4715">
            <w:r>
              <w:t xml:space="preserve">Piloting </w:t>
            </w:r>
            <w:r w:rsidRPr="00567ADA">
              <w:t>Landlord Forum with the first meeting scheduled for June 7</w:t>
            </w:r>
            <w:r w:rsidRPr="00567ADA">
              <w:rPr>
                <w:vertAlign w:val="superscript"/>
              </w:rPr>
              <w:t>th</w:t>
            </w:r>
            <w:r>
              <w:t xml:space="preserve"> 2023</w:t>
            </w:r>
          </w:p>
        </w:tc>
        <w:tc>
          <w:tcPr>
            <w:tcW w:w="1560" w:type="dxa"/>
          </w:tcPr>
          <w:p w14:paraId="28795814" w14:textId="77777777" w:rsidR="00476DC7" w:rsidRDefault="00476DC7" w:rsidP="002C4715">
            <w:r>
              <w:t>HSCP</w:t>
            </w:r>
          </w:p>
        </w:tc>
      </w:tr>
    </w:tbl>
    <w:p w14:paraId="4DB17CB7" w14:textId="77777777" w:rsidR="00476DC7" w:rsidRDefault="00476DC7" w:rsidP="00476DC7"/>
    <w:p w14:paraId="2D0A577E" w14:textId="77777777" w:rsidR="00476DC7" w:rsidRPr="00501F53" w:rsidRDefault="00476DC7" w:rsidP="00476DC7">
      <w:pPr>
        <w:rPr>
          <w:b/>
          <w:i/>
        </w:rPr>
      </w:pPr>
      <w:r w:rsidRPr="00501F53">
        <w:rPr>
          <w:b/>
          <w:i/>
        </w:rPr>
        <w:t>Objective 3: Implement a Housing First model which enables excluded service users to achieve housing sustainment</w:t>
      </w:r>
    </w:p>
    <w:tbl>
      <w:tblPr>
        <w:tblStyle w:val="TableGrid"/>
        <w:tblW w:w="0" w:type="auto"/>
        <w:tblLook w:val="04A0" w:firstRow="1" w:lastRow="0" w:firstColumn="1" w:lastColumn="0" w:noHBand="0" w:noVBand="1"/>
      </w:tblPr>
      <w:tblGrid>
        <w:gridCol w:w="1129"/>
        <w:gridCol w:w="3402"/>
        <w:gridCol w:w="2442"/>
        <w:gridCol w:w="1953"/>
        <w:gridCol w:w="3543"/>
        <w:gridCol w:w="1479"/>
      </w:tblGrid>
      <w:tr w:rsidR="00476DC7" w14:paraId="448E79D2" w14:textId="77777777" w:rsidTr="002C4715">
        <w:tc>
          <w:tcPr>
            <w:tcW w:w="1129" w:type="dxa"/>
            <w:shd w:val="clear" w:color="auto" w:fill="DEEAF6" w:themeFill="accent1" w:themeFillTint="33"/>
          </w:tcPr>
          <w:p w14:paraId="00CB3C8B" w14:textId="77777777" w:rsidR="00476DC7" w:rsidRDefault="00476DC7" w:rsidP="002C4715">
            <w:r>
              <w:t>Measure No</w:t>
            </w:r>
          </w:p>
        </w:tc>
        <w:tc>
          <w:tcPr>
            <w:tcW w:w="3402" w:type="dxa"/>
            <w:shd w:val="clear" w:color="auto" w:fill="DEEAF6" w:themeFill="accent1" w:themeFillTint="33"/>
          </w:tcPr>
          <w:p w14:paraId="0FDE43B7" w14:textId="77777777" w:rsidR="00476DC7" w:rsidRDefault="00476DC7" w:rsidP="002C4715">
            <w:r>
              <w:t>Measure</w:t>
            </w:r>
          </w:p>
        </w:tc>
        <w:tc>
          <w:tcPr>
            <w:tcW w:w="2442" w:type="dxa"/>
            <w:shd w:val="clear" w:color="auto" w:fill="DEEAF6" w:themeFill="accent1" w:themeFillTint="33"/>
          </w:tcPr>
          <w:p w14:paraId="5CD88531" w14:textId="77777777" w:rsidR="00476DC7" w:rsidRDefault="00476DC7" w:rsidP="002C4715">
            <w:r>
              <w:t xml:space="preserve">Target </w:t>
            </w:r>
          </w:p>
        </w:tc>
        <w:tc>
          <w:tcPr>
            <w:tcW w:w="1953" w:type="dxa"/>
            <w:shd w:val="clear" w:color="auto" w:fill="DEEAF6" w:themeFill="accent1" w:themeFillTint="33"/>
          </w:tcPr>
          <w:p w14:paraId="797A999A" w14:textId="77777777" w:rsidR="00476DC7" w:rsidRDefault="00476DC7" w:rsidP="002C4715">
            <w:r>
              <w:t>RRTP baseline</w:t>
            </w:r>
          </w:p>
        </w:tc>
        <w:tc>
          <w:tcPr>
            <w:tcW w:w="3543" w:type="dxa"/>
            <w:shd w:val="clear" w:color="auto" w:fill="DEEAF6" w:themeFill="accent1" w:themeFillTint="33"/>
          </w:tcPr>
          <w:p w14:paraId="6F63A792" w14:textId="77777777" w:rsidR="00476DC7" w:rsidRDefault="00476DC7" w:rsidP="002C4715">
            <w:r>
              <w:t>Progress at 31 March 2023</w:t>
            </w:r>
          </w:p>
        </w:tc>
        <w:tc>
          <w:tcPr>
            <w:tcW w:w="1479" w:type="dxa"/>
            <w:shd w:val="clear" w:color="auto" w:fill="DEEAF6" w:themeFill="accent1" w:themeFillTint="33"/>
          </w:tcPr>
          <w:p w14:paraId="5D208B57" w14:textId="77777777" w:rsidR="00476DC7" w:rsidRDefault="00476DC7" w:rsidP="002C4715">
            <w:r>
              <w:t>Lead</w:t>
            </w:r>
          </w:p>
        </w:tc>
      </w:tr>
      <w:tr w:rsidR="00476DC7" w14:paraId="4E6098CE" w14:textId="77777777" w:rsidTr="002C4715">
        <w:tc>
          <w:tcPr>
            <w:tcW w:w="1129" w:type="dxa"/>
          </w:tcPr>
          <w:p w14:paraId="28E458BD" w14:textId="77777777" w:rsidR="00476DC7" w:rsidRDefault="00476DC7" w:rsidP="002C4715">
            <w:r>
              <w:t>M3.1</w:t>
            </w:r>
          </w:p>
        </w:tc>
        <w:tc>
          <w:tcPr>
            <w:tcW w:w="3402" w:type="dxa"/>
          </w:tcPr>
          <w:p w14:paraId="5B2D1044" w14:textId="77777777" w:rsidR="00476DC7" w:rsidRDefault="00476DC7" w:rsidP="002C4715">
            <w:r>
              <w:t xml:space="preserve">Number of HF tenancies established </w:t>
            </w:r>
          </w:p>
        </w:tc>
        <w:tc>
          <w:tcPr>
            <w:tcW w:w="2442" w:type="dxa"/>
          </w:tcPr>
          <w:p w14:paraId="6AD5F716" w14:textId="77777777" w:rsidR="00476DC7" w:rsidRDefault="00476DC7" w:rsidP="002C4715">
            <w:r>
              <w:t>Maintain at 56</w:t>
            </w:r>
          </w:p>
        </w:tc>
        <w:tc>
          <w:tcPr>
            <w:tcW w:w="1953" w:type="dxa"/>
          </w:tcPr>
          <w:p w14:paraId="2D7506E5" w14:textId="77777777" w:rsidR="00476DC7" w:rsidRDefault="00476DC7" w:rsidP="002C4715"/>
        </w:tc>
        <w:tc>
          <w:tcPr>
            <w:tcW w:w="3543" w:type="dxa"/>
          </w:tcPr>
          <w:p w14:paraId="7D965B6D" w14:textId="77777777" w:rsidR="00476DC7" w:rsidRDefault="00476DC7" w:rsidP="002C4715">
            <w:r>
              <w:t xml:space="preserve">17 with a further 3 with offers pending </w:t>
            </w:r>
          </w:p>
        </w:tc>
        <w:tc>
          <w:tcPr>
            <w:tcW w:w="1479" w:type="dxa"/>
          </w:tcPr>
          <w:p w14:paraId="0C3E5571" w14:textId="77777777" w:rsidR="00476DC7" w:rsidRDefault="00476DC7" w:rsidP="002C4715">
            <w:r>
              <w:t>HSCP</w:t>
            </w:r>
          </w:p>
        </w:tc>
      </w:tr>
      <w:tr w:rsidR="00476DC7" w14:paraId="3EF64E03" w14:textId="77777777" w:rsidTr="002C4715">
        <w:tc>
          <w:tcPr>
            <w:tcW w:w="1129" w:type="dxa"/>
          </w:tcPr>
          <w:p w14:paraId="6AD2FEFC" w14:textId="77777777" w:rsidR="00476DC7" w:rsidRDefault="00476DC7" w:rsidP="002C4715">
            <w:r>
              <w:t>M3.2</w:t>
            </w:r>
          </w:p>
        </w:tc>
        <w:tc>
          <w:tcPr>
            <w:tcW w:w="3402" w:type="dxa"/>
          </w:tcPr>
          <w:p w14:paraId="3B8CF5D2" w14:textId="77777777" w:rsidR="00476DC7" w:rsidRDefault="00476DC7" w:rsidP="002C4715">
            <w:r>
              <w:t xml:space="preserve">Number of individuals receiving HF support </w:t>
            </w:r>
          </w:p>
        </w:tc>
        <w:tc>
          <w:tcPr>
            <w:tcW w:w="2442" w:type="dxa"/>
          </w:tcPr>
          <w:p w14:paraId="29BF3EE6" w14:textId="77777777" w:rsidR="00476DC7" w:rsidRDefault="00476DC7" w:rsidP="002C4715">
            <w:r>
              <w:t>Maintain at 56</w:t>
            </w:r>
          </w:p>
        </w:tc>
        <w:tc>
          <w:tcPr>
            <w:tcW w:w="1953" w:type="dxa"/>
          </w:tcPr>
          <w:p w14:paraId="28DCCD94" w14:textId="77777777" w:rsidR="00476DC7" w:rsidRDefault="00476DC7" w:rsidP="002C4715"/>
        </w:tc>
        <w:tc>
          <w:tcPr>
            <w:tcW w:w="3543" w:type="dxa"/>
          </w:tcPr>
          <w:p w14:paraId="39C7804E" w14:textId="77777777" w:rsidR="00476DC7" w:rsidRDefault="00476DC7" w:rsidP="002C4715">
            <w:r>
              <w:t>Increased by 300% since 1</w:t>
            </w:r>
            <w:r w:rsidRPr="00B84269">
              <w:rPr>
                <w:vertAlign w:val="superscript"/>
              </w:rPr>
              <w:t>st</w:t>
            </w:r>
            <w:r>
              <w:t xml:space="preserve"> November 2022</w:t>
            </w:r>
          </w:p>
        </w:tc>
        <w:tc>
          <w:tcPr>
            <w:tcW w:w="1479" w:type="dxa"/>
          </w:tcPr>
          <w:p w14:paraId="35920C80" w14:textId="77777777" w:rsidR="00476DC7" w:rsidRDefault="00476DC7" w:rsidP="002C4715">
            <w:r>
              <w:t>HSCP</w:t>
            </w:r>
          </w:p>
        </w:tc>
      </w:tr>
      <w:tr w:rsidR="00476DC7" w14:paraId="4985DDA0" w14:textId="77777777" w:rsidTr="002C4715">
        <w:tc>
          <w:tcPr>
            <w:tcW w:w="1129" w:type="dxa"/>
          </w:tcPr>
          <w:p w14:paraId="0A1B95D2" w14:textId="77777777" w:rsidR="00476DC7" w:rsidRDefault="00476DC7" w:rsidP="002C4715">
            <w:r>
              <w:t>M3.3</w:t>
            </w:r>
          </w:p>
        </w:tc>
        <w:tc>
          <w:tcPr>
            <w:tcW w:w="3402" w:type="dxa"/>
          </w:tcPr>
          <w:p w14:paraId="5F4F4CC3" w14:textId="77777777" w:rsidR="00476DC7" w:rsidRDefault="00476DC7" w:rsidP="002C4715">
            <w:r w:rsidRPr="00567ADA">
              <w:t>Number of households receiving HF through 3</w:t>
            </w:r>
            <w:r w:rsidRPr="00567ADA">
              <w:rPr>
                <w:vertAlign w:val="superscript"/>
              </w:rPr>
              <w:t>rd</w:t>
            </w:r>
            <w:r w:rsidRPr="00567ADA">
              <w:t xml:space="preserve"> sector organisations</w:t>
            </w:r>
          </w:p>
        </w:tc>
        <w:tc>
          <w:tcPr>
            <w:tcW w:w="2442" w:type="dxa"/>
          </w:tcPr>
          <w:p w14:paraId="0040CCE1" w14:textId="77777777" w:rsidR="00476DC7" w:rsidRDefault="00476DC7" w:rsidP="002C4715">
            <w:r>
              <w:t>Reduce by 100%</w:t>
            </w:r>
          </w:p>
        </w:tc>
        <w:tc>
          <w:tcPr>
            <w:tcW w:w="1953" w:type="dxa"/>
          </w:tcPr>
          <w:p w14:paraId="510086C4" w14:textId="77777777" w:rsidR="00476DC7" w:rsidRDefault="00476DC7" w:rsidP="002C4715"/>
        </w:tc>
        <w:tc>
          <w:tcPr>
            <w:tcW w:w="3543" w:type="dxa"/>
          </w:tcPr>
          <w:p w14:paraId="1C3EDB6F" w14:textId="77777777" w:rsidR="00476DC7" w:rsidRDefault="00476DC7" w:rsidP="002C4715">
            <w:r>
              <w:t>5</w:t>
            </w:r>
          </w:p>
        </w:tc>
        <w:tc>
          <w:tcPr>
            <w:tcW w:w="1479" w:type="dxa"/>
          </w:tcPr>
          <w:p w14:paraId="3274E51A" w14:textId="77777777" w:rsidR="00476DC7" w:rsidRDefault="00476DC7" w:rsidP="002C4715">
            <w:r>
              <w:t>HSCP</w:t>
            </w:r>
          </w:p>
        </w:tc>
      </w:tr>
      <w:tr w:rsidR="00476DC7" w14:paraId="0A54388C" w14:textId="77777777" w:rsidTr="002C4715">
        <w:tc>
          <w:tcPr>
            <w:tcW w:w="1129" w:type="dxa"/>
          </w:tcPr>
          <w:p w14:paraId="2F943265" w14:textId="77777777" w:rsidR="00476DC7" w:rsidRDefault="00476DC7" w:rsidP="002C4715">
            <w:r>
              <w:lastRenderedPageBreak/>
              <w:t>M3.4</w:t>
            </w:r>
          </w:p>
        </w:tc>
        <w:tc>
          <w:tcPr>
            <w:tcW w:w="3402" w:type="dxa"/>
          </w:tcPr>
          <w:p w14:paraId="635E1C6A" w14:textId="77777777" w:rsidR="00476DC7" w:rsidRDefault="00476DC7" w:rsidP="002C4715">
            <w:r>
              <w:t xml:space="preserve">Number of HF cases 12+ months tenancy sustainment </w:t>
            </w:r>
          </w:p>
        </w:tc>
        <w:tc>
          <w:tcPr>
            <w:tcW w:w="2442" w:type="dxa"/>
          </w:tcPr>
          <w:p w14:paraId="2C74F28A" w14:textId="77777777" w:rsidR="00476DC7" w:rsidRDefault="00476DC7" w:rsidP="002C4715">
            <w:r>
              <w:t>Increase to 70%</w:t>
            </w:r>
          </w:p>
        </w:tc>
        <w:tc>
          <w:tcPr>
            <w:tcW w:w="1953" w:type="dxa"/>
          </w:tcPr>
          <w:p w14:paraId="1D895E6B" w14:textId="77777777" w:rsidR="00476DC7" w:rsidRDefault="00476DC7" w:rsidP="002C4715"/>
        </w:tc>
        <w:tc>
          <w:tcPr>
            <w:tcW w:w="3543" w:type="dxa"/>
          </w:tcPr>
          <w:p w14:paraId="39F7F0E2" w14:textId="77777777" w:rsidR="00476DC7" w:rsidRDefault="00476DC7" w:rsidP="002C4715">
            <w:r>
              <w:t>9</w:t>
            </w:r>
          </w:p>
        </w:tc>
        <w:tc>
          <w:tcPr>
            <w:tcW w:w="1479" w:type="dxa"/>
          </w:tcPr>
          <w:p w14:paraId="77E0E8E9" w14:textId="77777777" w:rsidR="00476DC7" w:rsidRDefault="00476DC7" w:rsidP="002C4715">
            <w:r>
              <w:t>HSCP</w:t>
            </w:r>
          </w:p>
        </w:tc>
      </w:tr>
      <w:tr w:rsidR="00476DC7" w14:paraId="1FC566AB" w14:textId="77777777" w:rsidTr="002C4715">
        <w:tc>
          <w:tcPr>
            <w:tcW w:w="1129" w:type="dxa"/>
          </w:tcPr>
          <w:p w14:paraId="5C09F6C0" w14:textId="77777777" w:rsidR="00476DC7" w:rsidRDefault="00476DC7" w:rsidP="002C4715">
            <w:r>
              <w:t>M3.4</w:t>
            </w:r>
          </w:p>
        </w:tc>
        <w:tc>
          <w:tcPr>
            <w:tcW w:w="3402" w:type="dxa"/>
          </w:tcPr>
          <w:p w14:paraId="054BFDD1" w14:textId="77777777" w:rsidR="00476DC7" w:rsidRDefault="00476DC7" w:rsidP="002C4715">
            <w:r>
              <w:t>Number of repeat homelessness cases</w:t>
            </w:r>
          </w:p>
        </w:tc>
        <w:tc>
          <w:tcPr>
            <w:tcW w:w="2442" w:type="dxa"/>
          </w:tcPr>
          <w:p w14:paraId="4F54FB24" w14:textId="77777777" w:rsidR="00476DC7" w:rsidRDefault="00476DC7" w:rsidP="002C4715">
            <w:r>
              <w:t xml:space="preserve">Reduce by 20% </w:t>
            </w:r>
          </w:p>
        </w:tc>
        <w:tc>
          <w:tcPr>
            <w:tcW w:w="1953" w:type="dxa"/>
          </w:tcPr>
          <w:p w14:paraId="0A33611C" w14:textId="77777777" w:rsidR="00476DC7" w:rsidRDefault="00476DC7" w:rsidP="002C4715">
            <w:r>
              <w:t>10%</w:t>
            </w:r>
          </w:p>
        </w:tc>
        <w:tc>
          <w:tcPr>
            <w:tcW w:w="3543" w:type="dxa"/>
          </w:tcPr>
          <w:p w14:paraId="70211828" w14:textId="77777777" w:rsidR="00476DC7" w:rsidRDefault="00476DC7" w:rsidP="002C4715">
            <w:r>
              <w:t>6.5%</w:t>
            </w:r>
          </w:p>
        </w:tc>
        <w:tc>
          <w:tcPr>
            <w:tcW w:w="1479" w:type="dxa"/>
          </w:tcPr>
          <w:p w14:paraId="40A89E15" w14:textId="77777777" w:rsidR="00476DC7" w:rsidRDefault="00476DC7" w:rsidP="002C4715">
            <w:r>
              <w:t>HSCP</w:t>
            </w:r>
          </w:p>
        </w:tc>
      </w:tr>
    </w:tbl>
    <w:p w14:paraId="73007C32" w14:textId="77777777" w:rsidR="00476DC7" w:rsidRDefault="00476DC7" w:rsidP="00476DC7"/>
    <w:tbl>
      <w:tblPr>
        <w:tblStyle w:val="TableGrid"/>
        <w:tblW w:w="14029" w:type="dxa"/>
        <w:tblLook w:val="04A0" w:firstRow="1" w:lastRow="0" w:firstColumn="1" w:lastColumn="0" w:noHBand="0" w:noVBand="1"/>
      </w:tblPr>
      <w:tblGrid>
        <w:gridCol w:w="1129"/>
        <w:gridCol w:w="3402"/>
        <w:gridCol w:w="2552"/>
        <w:gridCol w:w="5386"/>
        <w:gridCol w:w="1560"/>
      </w:tblGrid>
      <w:tr w:rsidR="00476DC7" w14:paraId="0E597E98" w14:textId="77777777" w:rsidTr="002C4715">
        <w:trPr>
          <w:trHeight w:val="129"/>
        </w:trPr>
        <w:tc>
          <w:tcPr>
            <w:tcW w:w="1129" w:type="dxa"/>
            <w:shd w:val="clear" w:color="auto" w:fill="DEEAF6" w:themeFill="accent1" w:themeFillTint="33"/>
          </w:tcPr>
          <w:p w14:paraId="74A96E57" w14:textId="77777777" w:rsidR="00476DC7" w:rsidRDefault="00476DC7" w:rsidP="002C4715">
            <w:r>
              <w:t>Action No</w:t>
            </w:r>
          </w:p>
        </w:tc>
        <w:tc>
          <w:tcPr>
            <w:tcW w:w="3402" w:type="dxa"/>
            <w:shd w:val="clear" w:color="auto" w:fill="DEEAF6" w:themeFill="accent1" w:themeFillTint="33"/>
          </w:tcPr>
          <w:p w14:paraId="22FAFA44" w14:textId="77777777" w:rsidR="00476DC7" w:rsidRDefault="00476DC7" w:rsidP="002C4715">
            <w:r>
              <w:t>Action</w:t>
            </w:r>
          </w:p>
        </w:tc>
        <w:tc>
          <w:tcPr>
            <w:tcW w:w="2552" w:type="dxa"/>
            <w:shd w:val="clear" w:color="auto" w:fill="DEEAF6" w:themeFill="accent1" w:themeFillTint="33"/>
          </w:tcPr>
          <w:p w14:paraId="115FC385" w14:textId="77777777" w:rsidR="00476DC7" w:rsidRDefault="00476DC7" w:rsidP="002C4715">
            <w:r>
              <w:t xml:space="preserve">Target/Milestone </w:t>
            </w:r>
          </w:p>
        </w:tc>
        <w:tc>
          <w:tcPr>
            <w:tcW w:w="5386" w:type="dxa"/>
            <w:shd w:val="clear" w:color="auto" w:fill="DEEAF6" w:themeFill="accent1" w:themeFillTint="33"/>
          </w:tcPr>
          <w:p w14:paraId="21DC7D5D" w14:textId="77777777" w:rsidR="00476DC7" w:rsidRDefault="00476DC7" w:rsidP="002C4715">
            <w:r>
              <w:t xml:space="preserve">Progress at 31 March 2023 </w:t>
            </w:r>
          </w:p>
        </w:tc>
        <w:tc>
          <w:tcPr>
            <w:tcW w:w="1560" w:type="dxa"/>
            <w:shd w:val="clear" w:color="auto" w:fill="DEEAF6" w:themeFill="accent1" w:themeFillTint="33"/>
          </w:tcPr>
          <w:p w14:paraId="22C22D88" w14:textId="77777777" w:rsidR="00476DC7" w:rsidRDefault="00476DC7" w:rsidP="002C4715">
            <w:r>
              <w:t>Lead</w:t>
            </w:r>
          </w:p>
        </w:tc>
      </w:tr>
      <w:tr w:rsidR="00476DC7" w14:paraId="2153C5D6" w14:textId="77777777" w:rsidTr="002C4715">
        <w:tc>
          <w:tcPr>
            <w:tcW w:w="1129" w:type="dxa"/>
          </w:tcPr>
          <w:p w14:paraId="1A5A4BF0" w14:textId="77777777" w:rsidR="00476DC7" w:rsidRDefault="00476DC7" w:rsidP="002C4715">
            <w:r>
              <w:t>A3.1</w:t>
            </w:r>
          </w:p>
        </w:tc>
        <w:tc>
          <w:tcPr>
            <w:tcW w:w="3402" w:type="dxa"/>
          </w:tcPr>
          <w:p w14:paraId="151FEAF1" w14:textId="77777777" w:rsidR="00476DC7" w:rsidRDefault="00476DC7" w:rsidP="002C4715">
            <w:r>
              <w:t xml:space="preserve">Continue to establish HF tenancies </w:t>
            </w:r>
          </w:p>
        </w:tc>
        <w:tc>
          <w:tcPr>
            <w:tcW w:w="2552" w:type="dxa"/>
          </w:tcPr>
          <w:p w14:paraId="0484CE3C" w14:textId="77777777" w:rsidR="00476DC7" w:rsidRDefault="00476DC7" w:rsidP="002C4715">
            <w:r>
              <w:t>Maintain capacity</w:t>
            </w:r>
          </w:p>
        </w:tc>
        <w:tc>
          <w:tcPr>
            <w:tcW w:w="5386" w:type="dxa"/>
          </w:tcPr>
          <w:p w14:paraId="75E88D7D" w14:textId="77777777" w:rsidR="00476DC7" w:rsidRDefault="00476DC7" w:rsidP="002C4715">
            <w:r>
              <w:t>17 HF tenancies have been established, with further 3 households obtaining pending offers of secure housing</w:t>
            </w:r>
          </w:p>
        </w:tc>
        <w:tc>
          <w:tcPr>
            <w:tcW w:w="1560" w:type="dxa"/>
          </w:tcPr>
          <w:p w14:paraId="7588EF5D" w14:textId="77777777" w:rsidR="00476DC7" w:rsidRDefault="00476DC7" w:rsidP="002C4715">
            <w:r>
              <w:t>HSCP</w:t>
            </w:r>
          </w:p>
        </w:tc>
      </w:tr>
      <w:tr w:rsidR="00476DC7" w14:paraId="72602B78" w14:textId="77777777" w:rsidTr="002C4715">
        <w:tc>
          <w:tcPr>
            <w:tcW w:w="1129" w:type="dxa"/>
          </w:tcPr>
          <w:p w14:paraId="25D970BF" w14:textId="77777777" w:rsidR="00476DC7" w:rsidRDefault="00476DC7" w:rsidP="002C4715">
            <w:r>
              <w:t>A3.2</w:t>
            </w:r>
          </w:p>
        </w:tc>
        <w:tc>
          <w:tcPr>
            <w:tcW w:w="3402" w:type="dxa"/>
          </w:tcPr>
          <w:p w14:paraId="21C7063D" w14:textId="77777777" w:rsidR="00476DC7" w:rsidRDefault="00476DC7" w:rsidP="002C4715">
            <w:r>
              <w:t xml:space="preserve">Work towards the HF principles through the in-house Rapid Rehousing Support Team </w:t>
            </w:r>
          </w:p>
        </w:tc>
        <w:tc>
          <w:tcPr>
            <w:tcW w:w="2552" w:type="dxa"/>
          </w:tcPr>
          <w:p w14:paraId="6B470423" w14:textId="77777777" w:rsidR="00476DC7" w:rsidRDefault="00476DC7" w:rsidP="002C4715">
            <w:r>
              <w:t>Monitor best practice</w:t>
            </w:r>
          </w:p>
        </w:tc>
        <w:tc>
          <w:tcPr>
            <w:tcW w:w="5386" w:type="dxa"/>
          </w:tcPr>
          <w:p w14:paraId="1E76927A" w14:textId="77777777" w:rsidR="00476DC7" w:rsidRDefault="00476DC7" w:rsidP="002C4715">
            <w:r>
              <w:t>RRST work</w:t>
            </w:r>
            <w:r w:rsidRPr="006123A4">
              <w:t xml:space="preserve"> with some of the most disadvantaged and vulnerable residents to help them break the cycle of homelessness and ultimately secure a permanent tenancy</w:t>
            </w:r>
          </w:p>
        </w:tc>
        <w:tc>
          <w:tcPr>
            <w:tcW w:w="1560" w:type="dxa"/>
          </w:tcPr>
          <w:p w14:paraId="45DE0B31" w14:textId="77777777" w:rsidR="00476DC7" w:rsidRDefault="00476DC7" w:rsidP="002C4715">
            <w:r>
              <w:t>HSCP</w:t>
            </w:r>
          </w:p>
        </w:tc>
      </w:tr>
      <w:tr w:rsidR="00476DC7" w14:paraId="3F8CCF11" w14:textId="77777777" w:rsidTr="002C4715">
        <w:tc>
          <w:tcPr>
            <w:tcW w:w="1129" w:type="dxa"/>
          </w:tcPr>
          <w:p w14:paraId="6E707E2C" w14:textId="77777777" w:rsidR="00476DC7" w:rsidRDefault="00476DC7" w:rsidP="002C4715">
            <w:r>
              <w:t>A3.3</w:t>
            </w:r>
          </w:p>
        </w:tc>
        <w:tc>
          <w:tcPr>
            <w:tcW w:w="3402" w:type="dxa"/>
          </w:tcPr>
          <w:p w14:paraId="6CA54742" w14:textId="77777777" w:rsidR="00476DC7" w:rsidRDefault="00476DC7" w:rsidP="002C4715">
            <w:r>
              <w:t xml:space="preserve">Continue to increase support through HF to ensure tenancy sustainment </w:t>
            </w:r>
          </w:p>
        </w:tc>
        <w:tc>
          <w:tcPr>
            <w:tcW w:w="2552" w:type="dxa"/>
          </w:tcPr>
          <w:p w14:paraId="1BAB90C3" w14:textId="77777777" w:rsidR="00476DC7" w:rsidRDefault="00476DC7" w:rsidP="002C4715">
            <w:r>
              <w:t>Review staff resource at capacity</w:t>
            </w:r>
          </w:p>
        </w:tc>
        <w:tc>
          <w:tcPr>
            <w:tcW w:w="5386" w:type="dxa"/>
          </w:tcPr>
          <w:p w14:paraId="1FDD3DF7" w14:textId="77777777" w:rsidR="00476DC7" w:rsidRDefault="00476DC7" w:rsidP="002C4715">
            <w:r>
              <w:t>Currently 41 clients overall receiving HF support – 36 by RRST and 5 by 3</w:t>
            </w:r>
            <w:r w:rsidRPr="00FA6599">
              <w:rPr>
                <w:vertAlign w:val="superscript"/>
              </w:rPr>
              <w:t>rd</w:t>
            </w:r>
            <w:r>
              <w:t xml:space="preserve"> sector </w:t>
            </w:r>
          </w:p>
        </w:tc>
        <w:tc>
          <w:tcPr>
            <w:tcW w:w="1560" w:type="dxa"/>
          </w:tcPr>
          <w:p w14:paraId="059EFE42" w14:textId="77777777" w:rsidR="00476DC7" w:rsidRDefault="00476DC7" w:rsidP="002C4715">
            <w:r>
              <w:t>HSCP</w:t>
            </w:r>
          </w:p>
        </w:tc>
      </w:tr>
      <w:tr w:rsidR="00476DC7" w14:paraId="0236CB12" w14:textId="77777777" w:rsidTr="002C4715">
        <w:tc>
          <w:tcPr>
            <w:tcW w:w="1129" w:type="dxa"/>
          </w:tcPr>
          <w:p w14:paraId="17F095A5" w14:textId="77777777" w:rsidR="00476DC7" w:rsidRDefault="00476DC7" w:rsidP="002C4715">
            <w:r>
              <w:t>A3.4</w:t>
            </w:r>
          </w:p>
        </w:tc>
        <w:tc>
          <w:tcPr>
            <w:tcW w:w="3402" w:type="dxa"/>
          </w:tcPr>
          <w:p w14:paraId="03A9A5F3" w14:textId="77777777" w:rsidR="00476DC7" w:rsidRDefault="00476DC7" w:rsidP="002C4715">
            <w:r>
              <w:t>Focus on closure of long-term homelessness</w:t>
            </w:r>
          </w:p>
        </w:tc>
        <w:tc>
          <w:tcPr>
            <w:tcW w:w="2552" w:type="dxa"/>
          </w:tcPr>
          <w:p w14:paraId="1E5007F0" w14:textId="77777777" w:rsidR="00476DC7" w:rsidRDefault="00476DC7" w:rsidP="002C4715">
            <w:r>
              <w:t>Reduce by 20%</w:t>
            </w:r>
          </w:p>
        </w:tc>
        <w:tc>
          <w:tcPr>
            <w:tcW w:w="5386" w:type="dxa"/>
          </w:tcPr>
          <w:p w14:paraId="7F4D3F8D" w14:textId="77777777" w:rsidR="00476DC7" w:rsidRDefault="00476DC7" w:rsidP="002C4715">
            <w:r>
              <w:t xml:space="preserve">All persons experiencing long term homelessness were referred to in-house support team. This resulted in 21% reduction from Q3 to Q4 </w:t>
            </w:r>
          </w:p>
        </w:tc>
        <w:tc>
          <w:tcPr>
            <w:tcW w:w="1560" w:type="dxa"/>
          </w:tcPr>
          <w:p w14:paraId="518BFB5C" w14:textId="77777777" w:rsidR="00476DC7" w:rsidRDefault="00476DC7" w:rsidP="002C4715">
            <w:r>
              <w:t>HSCP</w:t>
            </w:r>
          </w:p>
        </w:tc>
      </w:tr>
      <w:tr w:rsidR="00476DC7" w14:paraId="61CB2E79" w14:textId="77777777" w:rsidTr="002C4715">
        <w:tc>
          <w:tcPr>
            <w:tcW w:w="1129" w:type="dxa"/>
          </w:tcPr>
          <w:p w14:paraId="0B19326E" w14:textId="77777777" w:rsidR="00476DC7" w:rsidRDefault="00476DC7" w:rsidP="002C4715">
            <w:r>
              <w:t>A3.5</w:t>
            </w:r>
          </w:p>
        </w:tc>
        <w:tc>
          <w:tcPr>
            <w:tcW w:w="3402" w:type="dxa"/>
          </w:tcPr>
          <w:p w14:paraId="60B064FA" w14:textId="77777777" w:rsidR="00476DC7" w:rsidRDefault="00476DC7" w:rsidP="002C4715">
            <w:r>
              <w:t xml:space="preserve">Improving lived experience engagement </w:t>
            </w:r>
          </w:p>
        </w:tc>
        <w:tc>
          <w:tcPr>
            <w:tcW w:w="2552" w:type="dxa"/>
          </w:tcPr>
          <w:p w14:paraId="6A1EB26F" w14:textId="77777777" w:rsidR="00476DC7" w:rsidRDefault="00476DC7" w:rsidP="002C4715">
            <w:r>
              <w:t>Embed in decision making process</w:t>
            </w:r>
          </w:p>
        </w:tc>
        <w:tc>
          <w:tcPr>
            <w:tcW w:w="5386" w:type="dxa"/>
          </w:tcPr>
          <w:p w14:paraId="36B04542" w14:textId="77777777" w:rsidR="00476DC7" w:rsidRDefault="00476DC7" w:rsidP="002C4715">
            <w:r>
              <w:t xml:space="preserve">Engagement sessions through collaboration with local community care forum, Your Voice – discussions/suggestions on improvement in the service </w:t>
            </w:r>
          </w:p>
        </w:tc>
        <w:tc>
          <w:tcPr>
            <w:tcW w:w="1560" w:type="dxa"/>
          </w:tcPr>
          <w:p w14:paraId="235DD543" w14:textId="77777777" w:rsidR="00476DC7" w:rsidRDefault="00476DC7" w:rsidP="002C4715">
            <w:r>
              <w:t>HSCP</w:t>
            </w:r>
          </w:p>
        </w:tc>
      </w:tr>
    </w:tbl>
    <w:p w14:paraId="4AC2CE91" w14:textId="77777777" w:rsidR="00476DC7" w:rsidRDefault="00476DC7" w:rsidP="00476DC7"/>
    <w:p w14:paraId="2E7B7F1F" w14:textId="77777777" w:rsidR="00476DC7" w:rsidRPr="00501F53" w:rsidRDefault="00476DC7" w:rsidP="00476DC7">
      <w:pPr>
        <w:rPr>
          <w:b/>
          <w:i/>
        </w:rPr>
      </w:pPr>
      <w:r w:rsidRPr="00501F53">
        <w:rPr>
          <w:b/>
          <w:i/>
        </w:rPr>
        <w:t>Objective 4: Enable service users who need specialist supported housing to access commissioned HSCP services</w:t>
      </w:r>
    </w:p>
    <w:p w14:paraId="52C8980F" w14:textId="77777777" w:rsidR="00476DC7" w:rsidRDefault="00476DC7" w:rsidP="00476DC7"/>
    <w:tbl>
      <w:tblPr>
        <w:tblStyle w:val="TableGrid"/>
        <w:tblW w:w="0" w:type="auto"/>
        <w:tblLook w:val="04A0" w:firstRow="1" w:lastRow="0" w:firstColumn="1" w:lastColumn="0" w:noHBand="0" w:noVBand="1"/>
      </w:tblPr>
      <w:tblGrid>
        <w:gridCol w:w="1129"/>
        <w:gridCol w:w="3402"/>
        <w:gridCol w:w="2552"/>
        <w:gridCol w:w="5386"/>
        <w:gridCol w:w="1418"/>
      </w:tblGrid>
      <w:tr w:rsidR="00476DC7" w14:paraId="4B11B84A" w14:textId="77777777" w:rsidTr="002C4715">
        <w:tc>
          <w:tcPr>
            <w:tcW w:w="1129" w:type="dxa"/>
            <w:shd w:val="clear" w:color="auto" w:fill="DEEAF6" w:themeFill="accent1" w:themeFillTint="33"/>
          </w:tcPr>
          <w:p w14:paraId="747E6272" w14:textId="77777777" w:rsidR="00476DC7" w:rsidRDefault="00476DC7" w:rsidP="002C4715">
            <w:r>
              <w:t>Action No</w:t>
            </w:r>
          </w:p>
        </w:tc>
        <w:tc>
          <w:tcPr>
            <w:tcW w:w="3402" w:type="dxa"/>
            <w:shd w:val="clear" w:color="auto" w:fill="DEEAF6" w:themeFill="accent1" w:themeFillTint="33"/>
          </w:tcPr>
          <w:p w14:paraId="2F9397F1" w14:textId="77777777" w:rsidR="00476DC7" w:rsidRDefault="00476DC7" w:rsidP="002C4715">
            <w:r>
              <w:t>Action</w:t>
            </w:r>
          </w:p>
        </w:tc>
        <w:tc>
          <w:tcPr>
            <w:tcW w:w="2552" w:type="dxa"/>
            <w:shd w:val="clear" w:color="auto" w:fill="DEEAF6" w:themeFill="accent1" w:themeFillTint="33"/>
          </w:tcPr>
          <w:p w14:paraId="4C38BB03" w14:textId="77777777" w:rsidR="00476DC7" w:rsidRDefault="00476DC7" w:rsidP="002C4715">
            <w:r>
              <w:t xml:space="preserve">Target/Milestone </w:t>
            </w:r>
          </w:p>
        </w:tc>
        <w:tc>
          <w:tcPr>
            <w:tcW w:w="5386" w:type="dxa"/>
            <w:shd w:val="clear" w:color="auto" w:fill="DEEAF6" w:themeFill="accent1" w:themeFillTint="33"/>
          </w:tcPr>
          <w:p w14:paraId="376B405A" w14:textId="77777777" w:rsidR="00476DC7" w:rsidRDefault="00476DC7" w:rsidP="002C4715">
            <w:r>
              <w:t xml:space="preserve">Progress at 31 March 2023 </w:t>
            </w:r>
          </w:p>
        </w:tc>
        <w:tc>
          <w:tcPr>
            <w:tcW w:w="1418" w:type="dxa"/>
            <w:shd w:val="clear" w:color="auto" w:fill="DEEAF6" w:themeFill="accent1" w:themeFillTint="33"/>
          </w:tcPr>
          <w:p w14:paraId="28908381" w14:textId="77777777" w:rsidR="00476DC7" w:rsidRDefault="00476DC7" w:rsidP="002C4715">
            <w:r>
              <w:t>Lead</w:t>
            </w:r>
          </w:p>
        </w:tc>
      </w:tr>
      <w:tr w:rsidR="00476DC7" w14:paraId="46A4379C" w14:textId="77777777" w:rsidTr="002C4715">
        <w:tc>
          <w:tcPr>
            <w:tcW w:w="1129" w:type="dxa"/>
          </w:tcPr>
          <w:p w14:paraId="01D7D337" w14:textId="77777777" w:rsidR="00476DC7" w:rsidRDefault="00476DC7" w:rsidP="002C4715">
            <w:r>
              <w:t>A4.1</w:t>
            </w:r>
          </w:p>
        </w:tc>
        <w:tc>
          <w:tcPr>
            <w:tcW w:w="3402" w:type="dxa"/>
          </w:tcPr>
          <w:p w14:paraId="4FCEA0C6" w14:textId="77777777" w:rsidR="00476DC7" w:rsidRDefault="00476DC7" w:rsidP="002C4715">
            <w:r>
              <w:t xml:space="preserve">Undertaking </w:t>
            </w:r>
            <w:r w:rsidRPr="00A96CD6">
              <w:t>a mapping exercise to capture available supported accommodation in the area</w:t>
            </w:r>
          </w:p>
        </w:tc>
        <w:tc>
          <w:tcPr>
            <w:tcW w:w="2552" w:type="dxa"/>
          </w:tcPr>
          <w:p w14:paraId="44FAA3D3" w14:textId="77777777" w:rsidR="00476DC7" w:rsidRDefault="00476DC7" w:rsidP="002C4715">
            <w:r>
              <w:t>Complete March 2024</w:t>
            </w:r>
          </w:p>
        </w:tc>
        <w:tc>
          <w:tcPr>
            <w:tcW w:w="5386" w:type="dxa"/>
          </w:tcPr>
          <w:p w14:paraId="5E6BA29A" w14:textId="77777777" w:rsidR="00476DC7" w:rsidRDefault="00476DC7" w:rsidP="002C4715">
            <w:r>
              <w:t>Potential for pathways being scoped</w:t>
            </w:r>
          </w:p>
        </w:tc>
        <w:tc>
          <w:tcPr>
            <w:tcW w:w="1418" w:type="dxa"/>
          </w:tcPr>
          <w:p w14:paraId="6249DCB0" w14:textId="77777777" w:rsidR="00476DC7" w:rsidRDefault="00476DC7" w:rsidP="002C4715">
            <w:r>
              <w:t>HSCP</w:t>
            </w:r>
          </w:p>
        </w:tc>
      </w:tr>
      <w:tr w:rsidR="00476DC7" w14:paraId="123CED50" w14:textId="77777777" w:rsidTr="002C4715">
        <w:tc>
          <w:tcPr>
            <w:tcW w:w="1129" w:type="dxa"/>
          </w:tcPr>
          <w:p w14:paraId="24F63630" w14:textId="77777777" w:rsidR="00476DC7" w:rsidRDefault="00476DC7" w:rsidP="002C4715">
            <w:r>
              <w:t>A4.2</w:t>
            </w:r>
          </w:p>
        </w:tc>
        <w:tc>
          <w:tcPr>
            <w:tcW w:w="3402" w:type="dxa"/>
          </w:tcPr>
          <w:p w14:paraId="1489931A" w14:textId="77777777" w:rsidR="00476DC7" w:rsidRDefault="00476DC7" w:rsidP="002C4715">
            <w:r>
              <w:t xml:space="preserve">Ongoing communication with local housing associations </w:t>
            </w:r>
          </w:p>
        </w:tc>
        <w:tc>
          <w:tcPr>
            <w:tcW w:w="2552" w:type="dxa"/>
          </w:tcPr>
          <w:p w14:paraId="7CDD00BE" w14:textId="77777777" w:rsidR="00476DC7" w:rsidRDefault="00476DC7" w:rsidP="002C4715">
            <w:r>
              <w:t>Complete Sept 2024</w:t>
            </w:r>
          </w:p>
        </w:tc>
        <w:tc>
          <w:tcPr>
            <w:tcW w:w="5386" w:type="dxa"/>
          </w:tcPr>
          <w:p w14:paraId="457270FC" w14:textId="77777777" w:rsidR="00476DC7" w:rsidRDefault="00476DC7" w:rsidP="002C4715">
            <w:r>
              <w:t xml:space="preserve">Discussions </w:t>
            </w:r>
            <w:r w:rsidRPr="00A96CD6">
              <w:t xml:space="preserve">on core and </w:t>
            </w:r>
            <w:r>
              <w:t xml:space="preserve">cluster style accommodations </w:t>
            </w:r>
          </w:p>
        </w:tc>
        <w:tc>
          <w:tcPr>
            <w:tcW w:w="1418" w:type="dxa"/>
          </w:tcPr>
          <w:p w14:paraId="5265460B" w14:textId="77777777" w:rsidR="00476DC7" w:rsidRDefault="00476DC7" w:rsidP="002C4715">
            <w:r>
              <w:t>HSCP</w:t>
            </w:r>
          </w:p>
        </w:tc>
      </w:tr>
    </w:tbl>
    <w:p w14:paraId="12037CC1" w14:textId="48F56A6A" w:rsidR="00476DC7" w:rsidRDefault="00476DC7" w:rsidP="00476DC7"/>
    <w:p w14:paraId="41FB9E6A" w14:textId="57DBA366" w:rsidR="003430AE" w:rsidRPr="00A30C2D" w:rsidRDefault="003430AE" w:rsidP="003430AE">
      <w:r w:rsidRPr="00A30C2D">
        <w:rPr>
          <w:noProof/>
        </w:rPr>
        <w:drawing>
          <wp:anchor distT="0" distB="0" distL="114300" distR="114300" simplePos="0" relativeHeight="251673600" behindDoc="0" locked="0" layoutInCell="1" allowOverlap="1" wp14:anchorId="2D0C1D7B" wp14:editId="44D3B400">
            <wp:simplePos x="0" y="0"/>
            <wp:positionH relativeFrom="margin">
              <wp:posOffset>-546100</wp:posOffset>
            </wp:positionH>
            <wp:positionV relativeFrom="paragraph">
              <wp:posOffset>393700</wp:posOffset>
            </wp:positionV>
            <wp:extent cx="10182860" cy="45656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82860" cy="456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C2D">
        <w:t xml:space="preserve">Appendix </w:t>
      </w:r>
      <w:r w:rsidR="00A30C2D" w:rsidRPr="00A30C2D">
        <w:t>2</w:t>
      </w:r>
      <w:r w:rsidRPr="00A30C2D">
        <w:t>: Service Flowchart from Assessment to Closure</w:t>
      </w:r>
    </w:p>
    <w:bookmarkEnd w:id="0"/>
    <w:p w14:paraId="60296D92" w14:textId="77777777" w:rsidR="003430AE" w:rsidRPr="006D49E9" w:rsidRDefault="003430AE" w:rsidP="00476DC7"/>
    <w:sectPr w:rsidR="003430AE" w:rsidRPr="006D49E9" w:rsidSect="006D49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42E2" w14:textId="77777777" w:rsidR="00497D02" w:rsidRDefault="00497D02" w:rsidP="004A763C">
      <w:pPr>
        <w:spacing w:after="0" w:line="240" w:lineRule="auto"/>
      </w:pPr>
      <w:r>
        <w:separator/>
      </w:r>
    </w:p>
  </w:endnote>
  <w:endnote w:type="continuationSeparator" w:id="0">
    <w:p w14:paraId="260BA1E6" w14:textId="77777777" w:rsidR="00497D02" w:rsidRDefault="00497D02" w:rsidP="004A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99F8" w14:textId="77777777" w:rsidR="00497D02" w:rsidRDefault="00497D02" w:rsidP="004A763C">
      <w:pPr>
        <w:spacing w:after="0" w:line="240" w:lineRule="auto"/>
      </w:pPr>
      <w:r>
        <w:separator/>
      </w:r>
    </w:p>
  </w:footnote>
  <w:footnote w:type="continuationSeparator" w:id="0">
    <w:p w14:paraId="71BFCBE5" w14:textId="77777777" w:rsidR="00497D02" w:rsidRDefault="00497D02" w:rsidP="004A763C">
      <w:pPr>
        <w:spacing w:after="0" w:line="240" w:lineRule="auto"/>
      </w:pPr>
      <w:r>
        <w:continuationSeparator/>
      </w:r>
    </w:p>
  </w:footnote>
  <w:footnote w:id="1">
    <w:p w14:paraId="00200179" w14:textId="77777777" w:rsidR="00A427E3" w:rsidRDefault="00A427E3" w:rsidP="00A427E3">
      <w:pPr>
        <w:pStyle w:val="FootnoteText"/>
      </w:pPr>
      <w:r>
        <w:rPr>
          <w:rStyle w:val="FootnoteReference"/>
        </w:rPr>
        <w:footnoteRef/>
      </w:r>
      <w:r>
        <w:t xml:space="preserve"> Housing Statistics 2020 &amp; 2021: Key Trends Summary: </w:t>
      </w:r>
      <w:hyperlink r:id="rId1" w:history="1">
        <w:r w:rsidRPr="000A45CA">
          <w:rPr>
            <w:rStyle w:val="Hyperlink"/>
          </w:rPr>
          <w:t>https://www.gov.scot/publications/housing-statistics-2020-2021-key-trends-summary/documents/</w:t>
        </w:r>
      </w:hyperlink>
      <w:r>
        <w:t xml:space="preserve"> </w:t>
      </w:r>
    </w:p>
  </w:footnote>
  <w:footnote w:id="2">
    <w:p w14:paraId="1A5FBC5C" w14:textId="460BA923" w:rsidR="004F2D19" w:rsidRDefault="004F2D19">
      <w:pPr>
        <w:pStyle w:val="FootnoteText"/>
      </w:pPr>
      <w:r>
        <w:rPr>
          <w:rStyle w:val="FootnoteReference"/>
        </w:rPr>
        <w:footnoteRef/>
      </w:r>
      <w:r>
        <w:t xml:space="preserve"> Finland Housing First partner - </w:t>
      </w:r>
      <w:hyperlink r:id="rId2" w:history="1">
        <w:r w:rsidRPr="004F2D19">
          <w:rPr>
            <w:color w:val="0000FF"/>
            <w:sz w:val="22"/>
            <w:szCs w:val="22"/>
            <w:u w:val="single"/>
          </w:rPr>
          <w:t>Home - Y-Säätiö (ysaatio.fi)</w:t>
        </w:r>
      </w:hyperlink>
      <w:r>
        <w:rPr>
          <w:sz w:val="22"/>
          <w:szCs w:val="22"/>
        </w:rPr>
        <w:t xml:space="preserve"> </w:t>
      </w:r>
    </w:p>
  </w:footnote>
  <w:footnote w:id="3">
    <w:p w14:paraId="63A3A11B" w14:textId="34FEA9A4" w:rsidR="004F2D19" w:rsidRDefault="004F2D19">
      <w:pPr>
        <w:pStyle w:val="FootnoteText"/>
      </w:pPr>
      <w:r>
        <w:rPr>
          <w:rStyle w:val="FootnoteReference"/>
        </w:rPr>
        <w:footnoteRef/>
      </w:r>
      <w:r>
        <w:t xml:space="preserve"> The Y Foundation co-ordinates this alliance </w:t>
      </w:r>
      <w:hyperlink r:id="rId3" w:history="1">
        <w:r w:rsidRPr="004F2D19">
          <w:rPr>
            <w:color w:val="0000FF"/>
            <w:sz w:val="22"/>
            <w:szCs w:val="22"/>
            <w:u w:val="single"/>
          </w:rPr>
          <w:t>New Alliance Aims to end Homelessness in the Nordics - Y-Säätiö (ysaatio.fi)</w:t>
        </w:r>
      </w:hyperlink>
    </w:p>
  </w:footnote>
  <w:footnote w:id="4">
    <w:p w14:paraId="02455892" w14:textId="61065DD4" w:rsidR="001509B9" w:rsidRDefault="001509B9">
      <w:pPr>
        <w:pStyle w:val="FootnoteText"/>
      </w:pPr>
      <w:r>
        <w:rPr>
          <w:rStyle w:val="FootnoteReference"/>
        </w:rPr>
        <w:footnoteRef/>
      </w:r>
      <w:r>
        <w:t xml:space="preserve"> Rapid Rehousing Transition Plans: Making the case for the next five years </w:t>
      </w:r>
      <w:hyperlink r:id="rId4" w:history="1">
        <w:r w:rsidRPr="000A247E">
          <w:rPr>
            <w:color w:val="0000FF"/>
            <w:sz w:val="22"/>
            <w:szCs w:val="22"/>
            <w:u w:val="single"/>
          </w:rPr>
          <w:t>0362-rapid-rehousing-transition-plans-report-2-v3.pdf (cih.org)</w:t>
        </w:r>
      </w:hyperlink>
    </w:p>
  </w:footnote>
  <w:footnote w:id="5">
    <w:p w14:paraId="4486D084" w14:textId="77777777" w:rsidR="00582615" w:rsidRPr="0029116D" w:rsidRDefault="00582615" w:rsidP="00582615">
      <w:pPr>
        <w:rPr>
          <w:b/>
          <w:sz w:val="20"/>
        </w:rPr>
      </w:pPr>
      <w:r>
        <w:rPr>
          <w:rStyle w:val="FootnoteReference"/>
        </w:rPr>
        <w:footnoteRef/>
      </w:r>
      <w:r>
        <w:t xml:space="preserve"> </w:t>
      </w:r>
      <w:r w:rsidRPr="00262523">
        <w:rPr>
          <w:sz w:val="18"/>
          <w:szCs w:val="20"/>
        </w:rPr>
        <w:t>Homelessness services in Scotland - A thematic review, February 2023</w:t>
      </w:r>
      <w:r w:rsidRPr="0029116D">
        <w:rPr>
          <w:sz w:val="20"/>
        </w:rPr>
        <w:t xml:space="preserve"> </w:t>
      </w:r>
      <w:hyperlink r:id="rId5" w:history="1">
        <w:r w:rsidRPr="0029116D">
          <w:rPr>
            <w:color w:val="0000FF"/>
            <w:sz w:val="20"/>
            <w:u w:val="single"/>
          </w:rPr>
          <w:t>homelessness-services-in-scotland-a-thematic-review-february-2023.pdf (housingregulator.gov.scot)</w:t>
        </w:r>
      </w:hyperlink>
    </w:p>
  </w:footnote>
  <w:footnote w:id="6">
    <w:p w14:paraId="114A7469" w14:textId="77777777" w:rsidR="00491AF3" w:rsidRPr="0029116D" w:rsidRDefault="00491AF3" w:rsidP="00491AF3">
      <w:pPr>
        <w:pStyle w:val="FootnoteText"/>
        <w:rPr>
          <w:sz w:val="18"/>
        </w:rPr>
      </w:pPr>
      <w:r w:rsidRPr="0029116D">
        <w:rPr>
          <w:rStyle w:val="FootnoteReference"/>
          <w:sz w:val="18"/>
        </w:rPr>
        <w:footnoteRef/>
      </w:r>
      <w:r w:rsidRPr="0029116D">
        <w:rPr>
          <w:sz w:val="18"/>
        </w:rPr>
        <w:t xml:space="preserve"> Rapid Rehousing Transition Plans: Making the case for the next five years </w:t>
      </w:r>
      <w:hyperlink r:id="rId6" w:history="1">
        <w:r w:rsidRPr="0029116D">
          <w:rPr>
            <w:color w:val="0000FF"/>
            <w:szCs w:val="22"/>
            <w:u w:val="single"/>
          </w:rPr>
          <w:t>0362-rapid-rehousing-transition-plans-report-2-v3.pdf (cih.org)</w:t>
        </w:r>
      </w:hyperlink>
    </w:p>
    <w:p w14:paraId="7060A6B9" w14:textId="77777777" w:rsidR="00491AF3" w:rsidRDefault="00491AF3" w:rsidP="00491AF3">
      <w:pPr>
        <w:pStyle w:val="FootnoteText"/>
      </w:pPr>
      <w:r w:rsidRPr="0029116D">
        <w:rPr>
          <w:sz w:val="18"/>
        </w:rPr>
        <w:t xml:space="preserve"> Rent Better Research Programme, Wave 2 Final Report by Indigo House </w:t>
      </w:r>
      <w:hyperlink r:id="rId7" w:history="1">
        <w:r w:rsidRPr="0029116D">
          <w:rPr>
            <w:color w:val="0000FF"/>
            <w:szCs w:val="22"/>
            <w:u w:val="single"/>
          </w:rPr>
          <w:t>RentBetter Wave 2 Full Reports | Rent Better (indigohousegroup.com)</w:t>
        </w:r>
      </w:hyperlink>
      <w:r w:rsidRPr="0029116D">
        <w:rPr>
          <w:szCs w:val="22"/>
        </w:rPr>
        <w:t xml:space="preserve"> </w:t>
      </w:r>
    </w:p>
  </w:footnote>
  <w:footnote w:id="7">
    <w:p w14:paraId="4199101C" w14:textId="74FA0D52" w:rsidR="00F672EB" w:rsidRDefault="00F672EB" w:rsidP="00F672EB">
      <w:pPr>
        <w:pStyle w:val="FootnoteText"/>
      </w:pPr>
      <w:r>
        <w:rPr>
          <w:rStyle w:val="FootnoteReference"/>
        </w:rPr>
        <w:footnoteRef/>
      </w:r>
      <w:r>
        <w:t xml:space="preserve"> </w:t>
      </w:r>
      <w:hyperlink r:id="rId8" w:history="1">
        <w:r>
          <w:rPr>
            <w:rStyle w:val="Hyperlink"/>
          </w:rPr>
          <w:t>Youth homelessness 2018-19: statistics - gov.scot (www.gov.scot)</w:t>
        </w:r>
      </w:hyperlink>
    </w:p>
  </w:footnote>
  <w:footnote w:id="8">
    <w:p w14:paraId="45C3FA0B" w14:textId="77777777" w:rsidR="00CC5265" w:rsidRDefault="00CC5265" w:rsidP="00CC5265">
      <w:pPr>
        <w:pStyle w:val="FootnoteText"/>
      </w:pPr>
      <w:r>
        <w:rPr>
          <w:rStyle w:val="FootnoteReference"/>
        </w:rPr>
        <w:footnoteRef/>
      </w:r>
      <w:r w:rsidRPr="0029116D">
        <w:rPr>
          <w:sz w:val="18"/>
        </w:rPr>
        <w:t xml:space="preserve"> Rapid Rehousing Transition Plans: Making the case for the next five years</w:t>
      </w:r>
      <w:r>
        <w:rPr>
          <w:sz w:val="18"/>
        </w:rPr>
        <w:t xml:space="preserve"> </w:t>
      </w:r>
      <w:r w:rsidRPr="0029116D">
        <w:rPr>
          <w:sz w:val="18"/>
        </w:rPr>
        <w:t xml:space="preserve"> </w:t>
      </w:r>
      <w:hyperlink r:id="rId9" w:history="1">
        <w:r w:rsidRPr="0029116D">
          <w:rPr>
            <w:color w:val="0000FF"/>
            <w:szCs w:val="22"/>
            <w:u w:val="single"/>
          </w:rPr>
          <w:t>0362-rapid-rehousing-transition-plans-report-2-v3.pdf (cih.org)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7C8"/>
    <w:multiLevelType w:val="multilevel"/>
    <w:tmpl w:val="A88A604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C746608"/>
    <w:multiLevelType w:val="multilevel"/>
    <w:tmpl w:val="F95A817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12C36"/>
    <w:multiLevelType w:val="multilevel"/>
    <w:tmpl w:val="AE941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E73C19"/>
    <w:multiLevelType w:val="hybridMultilevel"/>
    <w:tmpl w:val="B7B06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B2CB2"/>
    <w:multiLevelType w:val="multilevel"/>
    <w:tmpl w:val="C23E4EE8"/>
    <w:lvl w:ilvl="0">
      <w:start w:val="2"/>
      <w:numFmt w:val="decimal"/>
      <w:lvlText w:val="%1"/>
      <w:lvlJc w:val="left"/>
      <w:pPr>
        <w:ind w:left="450" w:hanging="450"/>
      </w:pPr>
      <w:rPr>
        <w:rFonts w:hint="default"/>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3DB7104"/>
    <w:multiLevelType w:val="hybridMultilevel"/>
    <w:tmpl w:val="F1C6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36FBD"/>
    <w:multiLevelType w:val="hybridMultilevel"/>
    <w:tmpl w:val="F0C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B019E"/>
    <w:multiLevelType w:val="hybridMultilevel"/>
    <w:tmpl w:val="60B6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C0D39"/>
    <w:multiLevelType w:val="multilevel"/>
    <w:tmpl w:val="FC0CDCAE"/>
    <w:lvl w:ilvl="0">
      <w:start w:val="3"/>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C72BE9"/>
    <w:multiLevelType w:val="hybridMultilevel"/>
    <w:tmpl w:val="A8C4D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CD1053"/>
    <w:multiLevelType w:val="hybridMultilevel"/>
    <w:tmpl w:val="CDA8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61ED0"/>
    <w:multiLevelType w:val="hybridMultilevel"/>
    <w:tmpl w:val="76F8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E0FAF"/>
    <w:multiLevelType w:val="hybridMultilevel"/>
    <w:tmpl w:val="B7F8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61721"/>
    <w:multiLevelType w:val="multilevel"/>
    <w:tmpl w:val="DF9E459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B44C57"/>
    <w:multiLevelType w:val="hybridMultilevel"/>
    <w:tmpl w:val="F78A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80223"/>
    <w:multiLevelType w:val="hybridMultilevel"/>
    <w:tmpl w:val="058E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A4C45"/>
    <w:multiLevelType w:val="hybridMultilevel"/>
    <w:tmpl w:val="2A1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1589C"/>
    <w:multiLevelType w:val="hybridMultilevel"/>
    <w:tmpl w:val="2C24C914"/>
    <w:lvl w:ilvl="0" w:tplc="C152D88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5B3072"/>
    <w:multiLevelType w:val="hybridMultilevel"/>
    <w:tmpl w:val="A1B62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C714E4"/>
    <w:multiLevelType w:val="hybridMultilevel"/>
    <w:tmpl w:val="584A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24120"/>
    <w:multiLevelType w:val="hybridMultilevel"/>
    <w:tmpl w:val="D64E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72DD3"/>
    <w:multiLevelType w:val="hybridMultilevel"/>
    <w:tmpl w:val="6010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85C0B"/>
    <w:multiLevelType w:val="hybridMultilevel"/>
    <w:tmpl w:val="BC4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7744"/>
    <w:multiLevelType w:val="hybridMultilevel"/>
    <w:tmpl w:val="6E2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213760">
    <w:abstractNumId w:val="12"/>
  </w:num>
  <w:num w:numId="2" w16cid:durableId="1174422068">
    <w:abstractNumId w:val="14"/>
  </w:num>
  <w:num w:numId="3" w16cid:durableId="1320379530">
    <w:abstractNumId w:val="10"/>
  </w:num>
  <w:num w:numId="4" w16cid:durableId="1133904262">
    <w:abstractNumId w:val="5"/>
  </w:num>
  <w:num w:numId="5" w16cid:durableId="781917895">
    <w:abstractNumId w:val="23"/>
  </w:num>
  <w:num w:numId="6" w16cid:durableId="1574317481">
    <w:abstractNumId w:val="21"/>
  </w:num>
  <w:num w:numId="7" w16cid:durableId="1435323873">
    <w:abstractNumId w:val="15"/>
  </w:num>
  <w:num w:numId="8" w16cid:durableId="1777479908">
    <w:abstractNumId w:val="22"/>
  </w:num>
  <w:num w:numId="9" w16cid:durableId="865293213">
    <w:abstractNumId w:val="11"/>
  </w:num>
  <w:num w:numId="10" w16cid:durableId="1413622587">
    <w:abstractNumId w:val="17"/>
  </w:num>
  <w:num w:numId="11" w16cid:durableId="1856990841">
    <w:abstractNumId w:val="6"/>
  </w:num>
  <w:num w:numId="12" w16cid:durableId="1515723027">
    <w:abstractNumId w:val="2"/>
  </w:num>
  <w:num w:numId="13" w16cid:durableId="1621180420">
    <w:abstractNumId w:val="4"/>
  </w:num>
  <w:num w:numId="14" w16cid:durableId="1275362506">
    <w:abstractNumId w:val="0"/>
  </w:num>
  <w:num w:numId="15" w16cid:durableId="1557355944">
    <w:abstractNumId w:val="1"/>
  </w:num>
  <w:num w:numId="16" w16cid:durableId="558438197">
    <w:abstractNumId w:val="13"/>
  </w:num>
  <w:num w:numId="17" w16cid:durableId="1243099181">
    <w:abstractNumId w:val="8"/>
  </w:num>
  <w:num w:numId="18" w16cid:durableId="808591038">
    <w:abstractNumId w:val="3"/>
  </w:num>
  <w:num w:numId="19" w16cid:durableId="115179085">
    <w:abstractNumId w:val="9"/>
  </w:num>
  <w:num w:numId="20" w16cid:durableId="931744855">
    <w:abstractNumId w:val="20"/>
  </w:num>
  <w:num w:numId="21" w16cid:durableId="720905510">
    <w:abstractNumId w:val="19"/>
  </w:num>
  <w:num w:numId="22" w16cid:durableId="1655723214">
    <w:abstractNumId w:val="7"/>
  </w:num>
  <w:num w:numId="23" w16cid:durableId="863363">
    <w:abstractNumId w:val="16"/>
  </w:num>
  <w:num w:numId="24" w16cid:durableId="103415860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8F"/>
    <w:rsid w:val="0000128A"/>
    <w:rsid w:val="000103B4"/>
    <w:rsid w:val="00011ABB"/>
    <w:rsid w:val="00011E1B"/>
    <w:rsid w:val="0001399D"/>
    <w:rsid w:val="00015570"/>
    <w:rsid w:val="000212AF"/>
    <w:rsid w:val="00025170"/>
    <w:rsid w:val="00044655"/>
    <w:rsid w:val="0004533E"/>
    <w:rsid w:val="00045D7A"/>
    <w:rsid w:val="00046BA7"/>
    <w:rsid w:val="0005071C"/>
    <w:rsid w:val="0005384F"/>
    <w:rsid w:val="00054BAC"/>
    <w:rsid w:val="00061ACE"/>
    <w:rsid w:val="000676DE"/>
    <w:rsid w:val="000731A9"/>
    <w:rsid w:val="00077415"/>
    <w:rsid w:val="00081242"/>
    <w:rsid w:val="000901AB"/>
    <w:rsid w:val="00091E67"/>
    <w:rsid w:val="00092F5D"/>
    <w:rsid w:val="000A247E"/>
    <w:rsid w:val="000B01C9"/>
    <w:rsid w:val="000B74EF"/>
    <w:rsid w:val="000C659C"/>
    <w:rsid w:val="000C6780"/>
    <w:rsid w:val="000D22AE"/>
    <w:rsid w:val="000E0F3E"/>
    <w:rsid w:val="000E27C6"/>
    <w:rsid w:val="000F0EF9"/>
    <w:rsid w:val="000F708F"/>
    <w:rsid w:val="00100034"/>
    <w:rsid w:val="0010044B"/>
    <w:rsid w:val="00100922"/>
    <w:rsid w:val="00101BD9"/>
    <w:rsid w:val="00102DB2"/>
    <w:rsid w:val="00103DD4"/>
    <w:rsid w:val="00104D83"/>
    <w:rsid w:val="0010587F"/>
    <w:rsid w:val="001063F9"/>
    <w:rsid w:val="00107FDB"/>
    <w:rsid w:val="0011045C"/>
    <w:rsid w:val="00110BC3"/>
    <w:rsid w:val="00113B24"/>
    <w:rsid w:val="00122937"/>
    <w:rsid w:val="00122B15"/>
    <w:rsid w:val="00123B3D"/>
    <w:rsid w:val="00126CB6"/>
    <w:rsid w:val="00130D9C"/>
    <w:rsid w:val="00136923"/>
    <w:rsid w:val="001401DA"/>
    <w:rsid w:val="00140827"/>
    <w:rsid w:val="00146220"/>
    <w:rsid w:val="00150135"/>
    <w:rsid w:val="001509B9"/>
    <w:rsid w:val="00153897"/>
    <w:rsid w:val="00154A47"/>
    <w:rsid w:val="00154B4A"/>
    <w:rsid w:val="00155EC2"/>
    <w:rsid w:val="001608EC"/>
    <w:rsid w:val="00161DF1"/>
    <w:rsid w:val="001626B6"/>
    <w:rsid w:val="001667F9"/>
    <w:rsid w:val="00166CA3"/>
    <w:rsid w:val="00167ABC"/>
    <w:rsid w:val="00177AC4"/>
    <w:rsid w:val="0018017B"/>
    <w:rsid w:val="001826DD"/>
    <w:rsid w:val="00184DDC"/>
    <w:rsid w:val="00191ACD"/>
    <w:rsid w:val="00196C71"/>
    <w:rsid w:val="00196F0B"/>
    <w:rsid w:val="001A3E90"/>
    <w:rsid w:val="001A42AD"/>
    <w:rsid w:val="001A54BC"/>
    <w:rsid w:val="001A6FF0"/>
    <w:rsid w:val="001B0847"/>
    <w:rsid w:val="001C5CF8"/>
    <w:rsid w:val="001D501B"/>
    <w:rsid w:val="001F4B5D"/>
    <w:rsid w:val="002048F1"/>
    <w:rsid w:val="002069E8"/>
    <w:rsid w:val="0021155E"/>
    <w:rsid w:val="00216F8A"/>
    <w:rsid w:val="0022088A"/>
    <w:rsid w:val="0022174C"/>
    <w:rsid w:val="00221F5E"/>
    <w:rsid w:val="002272C3"/>
    <w:rsid w:val="00227370"/>
    <w:rsid w:val="0023100C"/>
    <w:rsid w:val="00231321"/>
    <w:rsid w:val="00234162"/>
    <w:rsid w:val="0023667B"/>
    <w:rsid w:val="00240236"/>
    <w:rsid w:val="00240FD7"/>
    <w:rsid w:val="00250E03"/>
    <w:rsid w:val="00254BEC"/>
    <w:rsid w:val="00262523"/>
    <w:rsid w:val="00262CDE"/>
    <w:rsid w:val="00262F2B"/>
    <w:rsid w:val="00263341"/>
    <w:rsid w:val="002649B0"/>
    <w:rsid w:val="00264A8C"/>
    <w:rsid w:val="00271E50"/>
    <w:rsid w:val="002753E6"/>
    <w:rsid w:val="00277C00"/>
    <w:rsid w:val="00277D62"/>
    <w:rsid w:val="00277ED9"/>
    <w:rsid w:val="00280716"/>
    <w:rsid w:val="00284C31"/>
    <w:rsid w:val="002871E9"/>
    <w:rsid w:val="00287DA8"/>
    <w:rsid w:val="0029116D"/>
    <w:rsid w:val="002918C2"/>
    <w:rsid w:val="00293DFA"/>
    <w:rsid w:val="002954BE"/>
    <w:rsid w:val="002A7568"/>
    <w:rsid w:val="002A772A"/>
    <w:rsid w:val="002B03AF"/>
    <w:rsid w:val="002B7D2E"/>
    <w:rsid w:val="002C4715"/>
    <w:rsid w:val="002C5BA8"/>
    <w:rsid w:val="002C6D81"/>
    <w:rsid w:val="002C75AD"/>
    <w:rsid w:val="002F05D2"/>
    <w:rsid w:val="002F1B50"/>
    <w:rsid w:val="002F724B"/>
    <w:rsid w:val="00303473"/>
    <w:rsid w:val="00303B9E"/>
    <w:rsid w:val="00303E03"/>
    <w:rsid w:val="003057A6"/>
    <w:rsid w:val="0030625B"/>
    <w:rsid w:val="0032231A"/>
    <w:rsid w:val="0032308B"/>
    <w:rsid w:val="00332908"/>
    <w:rsid w:val="00336A3D"/>
    <w:rsid w:val="00342C6A"/>
    <w:rsid w:val="003430AE"/>
    <w:rsid w:val="0035647D"/>
    <w:rsid w:val="0035698C"/>
    <w:rsid w:val="00362904"/>
    <w:rsid w:val="00386DF4"/>
    <w:rsid w:val="003921B1"/>
    <w:rsid w:val="003927BB"/>
    <w:rsid w:val="003951B5"/>
    <w:rsid w:val="003A0022"/>
    <w:rsid w:val="003A48C1"/>
    <w:rsid w:val="003B238D"/>
    <w:rsid w:val="003C0BD4"/>
    <w:rsid w:val="003C3194"/>
    <w:rsid w:val="003D1870"/>
    <w:rsid w:val="003D1BEF"/>
    <w:rsid w:val="003D7B9F"/>
    <w:rsid w:val="003E1E2D"/>
    <w:rsid w:val="003E57AF"/>
    <w:rsid w:val="003E7444"/>
    <w:rsid w:val="003F5C4C"/>
    <w:rsid w:val="00403768"/>
    <w:rsid w:val="00406DDD"/>
    <w:rsid w:val="004122E6"/>
    <w:rsid w:val="00417BA6"/>
    <w:rsid w:val="00431BBC"/>
    <w:rsid w:val="00433292"/>
    <w:rsid w:val="00433C32"/>
    <w:rsid w:val="004420A4"/>
    <w:rsid w:val="004429B6"/>
    <w:rsid w:val="00442BA9"/>
    <w:rsid w:val="004574AE"/>
    <w:rsid w:val="004605FA"/>
    <w:rsid w:val="004607EA"/>
    <w:rsid w:val="00463A89"/>
    <w:rsid w:val="00464E42"/>
    <w:rsid w:val="00465DD2"/>
    <w:rsid w:val="00474EC4"/>
    <w:rsid w:val="00476DC7"/>
    <w:rsid w:val="00481CF6"/>
    <w:rsid w:val="004824F5"/>
    <w:rsid w:val="00486979"/>
    <w:rsid w:val="00491AF3"/>
    <w:rsid w:val="004926AD"/>
    <w:rsid w:val="004932C1"/>
    <w:rsid w:val="00497D02"/>
    <w:rsid w:val="004A6E88"/>
    <w:rsid w:val="004A763C"/>
    <w:rsid w:val="004B3A94"/>
    <w:rsid w:val="004B46F7"/>
    <w:rsid w:val="004B6276"/>
    <w:rsid w:val="004B6CDF"/>
    <w:rsid w:val="004C0284"/>
    <w:rsid w:val="004C18CA"/>
    <w:rsid w:val="004C4CC4"/>
    <w:rsid w:val="004C6572"/>
    <w:rsid w:val="004D19C5"/>
    <w:rsid w:val="004D76F1"/>
    <w:rsid w:val="004E0F5C"/>
    <w:rsid w:val="004E14ED"/>
    <w:rsid w:val="004E3A76"/>
    <w:rsid w:val="004E4EAF"/>
    <w:rsid w:val="004E60C9"/>
    <w:rsid w:val="004F2D19"/>
    <w:rsid w:val="004F5E47"/>
    <w:rsid w:val="00500289"/>
    <w:rsid w:val="0050111D"/>
    <w:rsid w:val="005014D5"/>
    <w:rsid w:val="00501764"/>
    <w:rsid w:val="00504DFD"/>
    <w:rsid w:val="00512871"/>
    <w:rsid w:val="0052050C"/>
    <w:rsid w:val="00521693"/>
    <w:rsid w:val="00526848"/>
    <w:rsid w:val="00527E42"/>
    <w:rsid w:val="00530996"/>
    <w:rsid w:val="005312BF"/>
    <w:rsid w:val="00534538"/>
    <w:rsid w:val="00534E7B"/>
    <w:rsid w:val="0053676F"/>
    <w:rsid w:val="005513BE"/>
    <w:rsid w:val="00552623"/>
    <w:rsid w:val="00556746"/>
    <w:rsid w:val="00556979"/>
    <w:rsid w:val="00561056"/>
    <w:rsid w:val="00563E69"/>
    <w:rsid w:val="0056492B"/>
    <w:rsid w:val="005759F8"/>
    <w:rsid w:val="00582615"/>
    <w:rsid w:val="0058607F"/>
    <w:rsid w:val="00586DEB"/>
    <w:rsid w:val="00592DAF"/>
    <w:rsid w:val="00594D16"/>
    <w:rsid w:val="00596641"/>
    <w:rsid w:val="005A16DB"/>
    <w:rsid w:val="005A200C"/>
    <w:rsid w:val="005A76B8"/>
    <w:rsid w:val="005A7FA4"/>
    <w:rsid w:val="005B14CB"/>
    <w:rsid w:val="005B2476"/>
    <w:rsid w:val="005B36CB"/>
    <w:rsid w:val="005C1294"/>
    <w:rsid w:val="005C1BB4"/>
    <w:rsid w:val="005C220E"/>
    <w:rsid w:val="005C2AD4"/>
    <w:rsid w:val="005C4C1A"/>
    <w:rsid w:val="005C75EB"/>
    <w:rsid w:val="005D0D64"/>
    <w:rsid w:val="005D1581"/>
    <w:rsid w:val="005D69CC"/>
    <w:rsid w:val="005E369A"/>
    <w:rsid w:val="005E67FC"/>
    <w:rsid w:val="005F348D"/>
    <w:rsid w:val="005F564E"/>
    <w:rsid w:val="005F6425"/>
    <w:rsid w:val="00604F10"/>
    <w:rsid w:val="0060677D"/>
    <w:rsid w:val="00606B5F"/>
    <w:rsid w:val="00607828"/>
    <w:rsid w:val="00611078"/>
    <w:rsid w:val="00614A06"/>
    <w:rsid w:val="00621CA0"/>
    <w:rsid w:val="00624F45"/>
    <w:rsid w:val="00636409"/>
    <w:rsid w:val="00637096"/>
    <w:rsid w:val="00646A3A"/>
    <w:rsid w:val="006472CA"/>
    <w:rsid w:val="00652FBD"/>
    <w:rsid w:val="00655031"/>
    <w:rsid w:val="0066512F"/>
    <w:rsid w:val="006724E9"/>
    <w:rsid w:val="0067587B"/>
    <w:rsid w:val="006770C5"/>
    <w:rsid w:val="00683D1D"/>
    <w:rsid w:val="006850A8"/>
    <w:rsid w:val="00687597"/>
    <w:rsid w:val="00690FCC"/>
    <w:rsid w:val="00693837"/>
    <w:rsid w:val="00694CBD"/>
    <w:rsid w:val="00697FA0"/>
    <w:rsid w:val="006A2B92"/>
    <w:rsid w:val="006B245F"/>
    <w:rsid w:val="006B332D"/>
    <w:rsid w:val="006C01F0"/>
    <w:rsid w:val="006C211D"/>
    <w:rsid w:val="006C3DCA"/>
    <w:rsid w:val="006C71E3"/>
    <w:rsid w:val="006D49E9"/>
    <w:rsid w:val="006D4F0E"/>
    <w:rsid w:val="006D7F6C"/>
    <w:rsid w:val="006F0C41"/>
    <w:rsid w:val="006F2BE2"/>
    <w:rsid w:val="006F7E6B"/>
    <w:rsid w:val="007005C4"/>
    <w:rsid w:val="00714C7D"/>
    <w:rsid w:val="007205EB"/>
    <w:rsid w:val="007310AD"/>
    <w:rsid w:val="00731184"/>
    <w:rsid w:val="00735CA5"/>
    <w:rsid w:val="00736F91"/>
    <w:rsid w:val="0074335D"/>
    <w:rsid w:val="0075061A"/>
    <w:rsid w:val="00750C7F"/>
    <w:rsid w:val="007519F9"/>
    <w:rsid w:val="00757269"/>
    <w:rsid w:val="0076045C"/>
    <w:rsid w:val="00763B8A"/>
    <w:rsid w:val="007649A2"/>
    <w:rsid w:val="0077038F"/>
    <w:rsid w:val="00771D5E"/>
    <w:rsid w:val="00773344"/>
    <w:rsid w:val="0078006B"/>
    <w:rsid w:val="0079210E"/>
    <w:rsid w:val="00794DCF"/>
    <w:rsid w:val="007A484B"/>
    <w:rsid w:val="007A54B0"/>
    <w:rsid w:val="007A6369"/>
    <w:rsid w:val="007B67FA"/>
    <w:rsid w:val="007B7311"/>
    <w:rsid w:val="007C297B"/>
    <w:rsid w:val="007C339D"/>
    <w:rsid w:val="007C5E16"/>
    <w:rsid w:val="007C65C2"/>
    <w:rsid w:val="007C74A0"/>
    <w:rsid w:val="007C7741"/>
    <w:rsid w:val="007E2CE1"/>
    <w:rsid w:val="007E590A"/>
    <w:rsid w:val="007E593C"/>
    <w:rsid w:val="007E65A0"/>
    <w:rsid w:val="007E72DB"/>
    <w:rsid w:val="007F2536"/>
    <w:rsid w:val="008007B1"/>
    <w:rsid w:val="00802A62"/>
    <w:rsid w:val="0080326D"/>
    <w:rsid w:val="008146C0"/>
    <w:rsid w:val="008149AC"/>
    <w:rsid w:val="00815692"/>
    <w:rsid w:val="00815DC1"/>
    <w:rsid w:val="0081627F"/>
    <w:rsid w:val="008220D9"/>
    <w:rsid w:val="00823DC2"/>
    <w:rsid w:val="00840C80"/>
    <w:rsid w:val="0084169B"/>
    <w:rsid w:val="00841981"/>
    <w:rsid w:val="008421C5"/>
    <w:rsid w:val="008429AE"/>
    <w:rsid w:val="008432AF"/>
    <w:rsid w:val="0084343A"/>
    <w:rsid w:val="0084347E"/>
    <w:rsid w:val="0084393E"/>
    <w:rsid w:val="00844201"/>
    <w:rsid w:val="008446E7"/>
    <w:rsid w:val="00852C09"/>
    <w:rsid w:val="00857588"/>
    <w:rsid w:val="008638B4"/>
    <w:rsid w:val="00870DF5"/>
    <w:rsid w:val="00874640"/>
    <w:rsid w:val="008815C2"/>
    <w:rsid w:val="00887ED0"/>
    <w:rsid w:val="00897CBF"/>
    <w:rsid w:val="008A1072"/>
    <w:rsid w:val="008A1221"/>
    <w:rsid w:val="008A1442"/>
    <w:rsid w:val="008A211B"/>
    <w:rsid w:val="008A6F78"/>
    <w:rsid w:val="008B5E56"/>
    <w:rsid w:val="008C60CD"/>
    <w:rsid w:val="008C77EB"/>
    <w:rsid w:val="008D1ECA"/>
    <w:rsid w:val="008D2FE2"/>
    <w:rsid w:val="008D4221"/>
    <w:rsid w:val="008D508B"/>
    <w:rsid w:val="008E4A96"/>
    <w:rsid w:val="00906A64"/>
    <w:rsid w:val="009077A1"/>
    <w:rsid w:val="00912CF5"/>
    <w:rsid w:val="00916E73"/>
    <w:rsid w:val="009201C2"/>
    <w:rsid w:val="00923552"/>
    <w:rsid w:val="00925FC3"/>
    <w:rsid w:val="009268E9"/>
    <w:rsid w:val="0092733D"/>
    <w:rsid w:val="009325BA"/>
    <w:rsid w:val="00934392"/>
    <w:rsid w:val="00935463"/>
    <w:rsid w:val="00935B90"/>
    <w:rsid w:val="00937361"/>
    <w:rsid w:val="00937EC7"/>
    <w:rsid w:val="00941E7D"/>
    <w:rsid w:val="00944ED9"/>
    <w:rsid w:val="0094539D"/>
    <w:rsid w:val="009500D8"/>
    <w:rsid w:val="00960E77"/>
    <w:rsid w:val="00961343"/>
    <w:rsid w:val="0096164E"/>
    <w:rsid w:val="009628F9"/>
    <w:rsid w:val="00965E7A"/>
    <w:rsid w:val="00970CC7"/>
    <w:rsid w:val="00973EF7"/>
    <w:rsid w:val="00975FBD"/>
    <w:rsid w:val="00980B95"/>
    <w:rsid w:val="00985D2C"/>
    <w:rsid w:val="00991926"/>
    <w:rsid w:val="00994232"/>
    <w:rsid w:val="009950BC"/>
    <w:rsid w:val="009A07EE"/>
    <w:rsid w:val="009A1862"/>
    <w:rsid w:val="009B2A07"/>
    <w:rsid w:val="009B518B"/>
    <w:rsid w:val="009B5ED6"/>
    <w:rsid w:val="009B6688"/>
    <w:rsid w:val="009C2FCD"/>
    <w:rsid w:val="009D03DA"/>
    <w:rsid w:val="009D434E"/>
    <w:rsid w:val="009E1A7C"/>
    <w:rsid w:val="009E2979"/>
    <w:rsid w:val="009E3B68"/>
    <w:rsid w:val="009E5056"/>
    <w:rsid w:val="009E69C1"/>
    <w:rsid w:val="009E6F59"/>
    <w:rsid w:val="009E7C70"/>
    <w:rsid w:val="009F28FC"/>
    <w:rsid w:val="009F299E"/>
    <w:rsid w:val="009F29C8"/>
    <w:rsid w:val="009F35D4"/>
    <w:rsid w:val="009F4814"/>
    <w:rsid w:val="009F57F8"/>
    <w:rsid w:val="009F6F61"/>
    <w:rsid w:val="009F6FA9"/>
    <w:rsid w:val="00A016C8"/>
    <w:rsid w:val="00A049E0"/>
    <w:rsid w:val="00A0507A"/>
    <w:rsid w:val="00A13CB6"/>
    <w:rsid w:val="00A16EF8"/>
    <w:rsid w:val="00A257C8"/>
    <w:rsid w:val="00A30B1C"/>
    <w:rsid w:val="00A30C2D"/>
    <w:rsid w:val="00A34FD9"/>
    <w:rsid w:val="00A427E3"/>
    <w:rsid w:val="00A51D02"/>
    <w:rsid w:val="00A609F1"/>
    <w:rsid w:val="00A61B0A"/>
    <w:rsid w:val="00A669F8"/>
    <w:rsid w:val="00A911E2"/>
    <w:rsid w:val="00A91C52"/>
    <w:rsid w:val="00A94185"/>
    <w:rsid w:val="00AA101D"/>
    <w:rsid w:val="00AA1039"/>
    <w:rsid w:val="00AA210C"/>
    <w:rsid w:val="00AA59AC"/>
    <w:rsid w:val="00AA697B"/>
    <w:rsid w:val="00AB25AC"/>
    <w:rsid w:val="00AC0974"/>
    <w:rsid w:val="00AC0C31"/>
    <w:rsid w:val="00AC198A"/>
    <w:rsid w:val="00AD22C2"/>
    <w:rsid w:val="00AD27FD"/>
    <w:rsid w:val="00AF11DA"/>
    <w:rsid w:val="00B024B1"/>
    <w:rsid w:val="00B03436"/>
    <w:rsid w:val="00B04557"/>
    <w:rsid w:val="00B106DA"/>
    <w:rsid w:val="00B12DE7"/>
    <w:rsid w:val="00B20019"/>
    <w:rsid w:val="00B22243"/>
    <w:rsid w:val="00B23FC3"/>
    <w:rsid w:val="00B32FE0"/>
    <w:rsid w:val="00B3465A"/>
    <w:rsid w:val="00B36129"/>
    <w:rsid w:val="00B40956"/>
    <w:rsid w:val="00B45305"/>
    <w:rsid w:val="00B46C81"/>
    <w:rsid w:val="00B47979"/>
    <w:rsid w:val="00B5026A"/>
    <w:rsid w:val="00B50A17"/>
    <w:rsid w:val="00B55D5B"/>
    <w:rsid w:val="00B61CC4"/>
    <w:rsid w:val="00B66113"/>
    <w:rsid w:val="00B67368"/>
    <w:rsid w:val="00B77F79"/>
    <w:rsid w:val="00B81F55"/>
    <w:rsid w:val="00B8274E"/>
    <w:rsid w:val="00B919D2"/>
    <w:rsid w:val="00B9228B"/>
    <w:rsid w:val="00B922C5"/>
    <w:rsid w:val="00BA7A1E"/>
    <w:rsid w:val="00BB0457"/>
    <w:rsid w:val="00BB2837"/>
    <w:rsid w:val="00BB33B6"/>
    <w:rsid w:val="00BB5D2B"/>
    <w:rsid w:val="00BB65A7"/>
    <w:rsid w:val="00BB7385"/>
    <w:rsid w:val="00BB77D3"/>
    <w:rsid w:val="00BC31F7"/>
    <w:rsid w:val="00BD3073"/>
    <w:rsid w:val="00BD49C7"/>
    <w:rsid w:val="00BD5D67"/>
    <w:rsid w:val="00BD63CF"/>
    <w:rsid w:val="00BD7CA6"/>
    <w:rsid w:val="00BE1E11"/>
    <w:rsid w:val="00BF1E9A"/>
    <w:rsid w:val="00C04E57"/>
    <w:rsid w:val="00C134C1"/>
    <w:rsid w:val="00C1560F"/>
    <w:rsid w:val="00C20759"/>
    <w:rsid w:val="00C20BC9"/>
    <w:rsid w:val="00C21118"/>
    <w:rsid w:val="00C22BA9"/>
    <w:rsid w:val="00C304AC"/>
    <w:rsid w:val="00C347F3"/>
    <w:rsid w:val="00C40D56"/>
    <w:rsid w:val="00C55CC8"/>
    <w:rsid w:val="00C57C7E"/>
    <w:rsid w:val="00C60879"/>
    <w:rsid w:val="00C66420"/>
    <w:rsid w:val="00C73704"/>
    <w:rsid w:val="00C82A5D"/>
    <w:rsid w:val="00C85D95"/>
    <w:rsid w:val="00C90D23"/>
    <w:rsid w:val="00CA25C6"/>
    <w:rsid w:val="00CA6578"/>
    <w:rsid w:val="00CC0DEB"/>
    <w:rsid w:val="00CC3550"/>
    <w:rsid w:val="00CC3FD6"/>
    <w:rsid w:val="00CC5265"/>
    <w:rsid w:val="00CC564C"/>
    <w:rsid w:val="00CD0208"/>
    <w:rsid w:val="00CD6772"/>
    <w:rsid w:val="00CE34B5"/>
    <w:rsid w:val="00CE41FB"/>
    <w:rsid w:val="00CE7F4F"/>
    <w:rsid w:val="00CF3DD3"/>
    <w:rsid w:val="00CF6D5A"/>
    <w:rsid w:val="00D01539"/>
    <w:rsid w:val="00D02C91"/>
    <w:rsid w:val="00D050BB"/>
    <w:rsid w:val="00D05699"/>
    <w:rsid w:val="00D063F5"/>
    <w:rsid w:val="00D11772"/>
    <w:rsid w:val="00D11A01"/>
    <w:rsid w:val="00D13F93"/>
    <w:rsid w:val="00D15184"/>
    <w:rsid w:val="00D2675E"/>
    <w:rsid w:val="00D304B8"/>
    <w:rsid w:val="00D312ED"/>
    <w:rsid w:val="00D31592"/>
    <w:rsid w:val="00D413AB"/>
    <w:rsid w:val="00D442E1"/>
    <w:rsid w:val="00D500F2"/>
    <w:rsid w:val="00D50219"/>
    <w:rsid w:val="00D50B31"/>
    <w:rsid w:val="00D52062"/>
    <w:rsid w:val="00D556AA"/>
    <w:rsid w:val="00D57F37"/>
    <w:rsid w:val="00D6290D"/>
    <w:rsid w:val="00D62980"/>
    <w:rsid w:val="00D6706B"/>
    <w:rsid w:val="00D74880"/>
    <w:rsid w:val="00D807E1"/>
    <w:rsid w:val="00D80B96"/>
    <w:rsid w:val="00D84EF8"/>
    <w:rsid w:val="00D86053"/>
    <w:rsid w:val="00D922A6"/>
    <w:rsid w:val="00D92ACC"/>
    <w:rsid w:val="00D95FCF"/>
    <w:rsid w:val="00D97E34"/>
    <w:rsid w:val="00DA1295"/>
    <w:rsid w:val="00DA2949"/>
    <w:rsid w:val="00DB347E"/>
    <w:rsid w:val="00DB6F47"/>
    <w:rsid w:val="00DC27DA"/>
    <w:rsid w:val="00DD4989"/>
    <w:rsid w:val="00DD597C"/>
    <w:rsid w:val="00DE2F8A"/>
    <w:rsid w:val="00DF01CA"/>
    <w:rsid w:val="00DF57DF"/>
    <w:rsid w:val="00DF5AF5"/>
    <w:rsid w:val="00DF7373"/>
    <w:rsid w:val="00DF7405"/>
    <w:rsid w:val="00DF75A3"/>
    <w:rsid w:val="00DF7EE7"/>
    <w:rsid w:val="00E02133"/>
    <w:rsid w:val="00E0603B"/>
    <w:rsid w:val="00E0728A"/>
    <w:rsid w:val="00E10D3D"/>
    <w:rsid w:val="00E10FFE"/>
    <w:rsid w:val="00E113DF"/>
    <w:rsid w:val="00E12542"/>
    <w:rsid w:val="00E22AE7"/>
    <w:rsid w:val="00E27352"/>
    <w:rsid w:val="00E30AE9"/>
    <w:rsid w:val="00E332FA"/>
    <w:rsid w:val="00E36747"/>
    <w:rsid w:val="00E44317"/>
    <w:rsid w:val="00E45CBB"/>
    <w:rsid w:val="00E476AC"/>
    <w:rsid w:val="00E5310D"/>
    <w:rsid w:val="00E54D81"/>
    <w:rsid w:val="00E64DBA"/>
    <w:rsid w:val="00E66E35"/>
    <w:rsid w:val="00E759FB"/>
    <w:rsid w:val="00E81C8B"/>
    <w:rsid w:val="00E82E82"/>
    <w:rsid w:val="00E83426"/>
    <w:rsid w:val="00E90083"/>
    <w:rsid w:val="00E90CA1"/>
    <w:rsid w:val="00EB1376"/>
    <w:rsid w:val="00EB2CC1"/>
    <w:rsid w:val="00EE09DE"/>
    <w:rsid w:val="00EE0A92"/>
    <w:rsid w:val="00EE4609"/>
    <w:rsid w:val="00EE4BCB"/>
    <w:rsid w:val="00EE7A51"/>
    <w:rsid w:val="00EF2A5A"/>
    <w:rsid w:val="00EF733C"/>
    <w:rsid w:val="00F019C6"/>
    <w:rsid w:val="00F05AF6"/>
    <w:rsid w:val="00F106CA"/>
    <w:rsid w:val="00F144CD"/>
    <w:rsid w:val="00F174BF"/>
    <w:rsid w:val="00F246EA"/>
    <w:rsid w:val="00F24A9C"/>
    <w:rsid w:val="00F26241"/>
    <w:rsid w:val="00F27801"/>
    <w:rsid w:val="00F34A7E"/>
    <w:rsid w:val="00F37D45"/>
    <w:rsid w:val="00F4638A"/>
    <w:rsid w:val="00F50F04"/>
    <w:rsid w:val="00F5219F"/>
    <w:rsid w:val="00F538D6"/>
    <w:rsid w:val="00F53E5D"/>
    <w:rsid w:val="00F64BE1"/>
    <w:rsid w:val="00F672EB"/>
    <w:rsid w:val="00F741E7"/>
    <w:rsid w:val="00F81D91"/>
    <w:rsid w:val="00F85201"/>
    <w:rsid w:val="00F90674"/>
    <w:rsid w:val="00F96887"/>
    <w:rsid w:val="00F97168"/>
    <w:rsid w:val="00FA30B8"/>
    <w:rsid w:val="00FA33C6"/>
    <w:rsid w:val="00FA5296"/>
    <w:rsid w:val="00FA5F61"/>
    <w:rsid w:val="00FA7635"/>
    <w:rsid w:val="00FB369E"/>
    <w:rsid w:val="00FB3CA9"/>
    <w:rsid w:val="00FB681F"/>
    <w:rsid w:val="00FB6C6E"/>
    <w:rsid w:val="00FC4853"/>
    <w:rsid w:val="00FD4048"/>
    <w:rsid w:val="00FD4578"/>
    <w:rsid w:val="00FD4780"/>
    <w:rsid w:val="00FE0673"/>
    <w:rsid w:val="00FE0986"/>
    <w:rsid w:val="00FE0EFA"/>
    <w:rsid w:val="00FF028F"/>
    <w:rsid w:val="00FF53DA"/>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E311"/>
  <w15:chartTrackingRefBased/>
  <w15:docId w15:val="{B476F960-68AC-4DDC-BDB0-F38E6C26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8F"/>
    <w:pPr>
      <w:ind w:left="720"/>
      <w:contextualSpacing/>
    </w:pPr>
  </w:style>
  <w:style w:type="table" w:styleId="TableGrid">
    <w:name w:val="Table Grid"/>
    <w:basedOn w:val="TableNormal"/>
    <w:uiPriority w:val="39"/>
    <w:rsid w:val="00B0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6572"/>
    <w:rPr>
      <w:b/>
      <w:bCs/>
    </w:rPr>
  </w:style>
  <w:style w:type="paragraph" w:styleId="FootnoteText">
    <w:name w:val="footnote text"/>
    <w:basedOn w:val="Normal"/>
    <w:link w:val="FootnoteTextChar"/>
    <w:uiPriority w:val="99"/>
    <w:semiHidden/>
    <w:unhideWhenUsed/>
    <w:rsid w:val="004A76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63C"/>
    <w:rPr>
      <w:sz w:val="20"/>
      <w:szCs w:val="20"/>
    </w:rPr>
  </w:style>
  <w:style w:type="character" w:styleId="FootnoteReference">
    <w:name w:val="footnote reference"/>
    <w:basedOn w:val="DefaultParagraphFont"/>
    <w:uiPriority w:val="99"/>
    <w:semiHidden/>
    <w:unhideWhenUsed/>
    <w:rsid w:val="004A763C"/>
    <w:rPr>
      <w:vertAlign w:val="superscript"/>
    </w:rPr>
  </w:style>
  <w:style w:type="character" w:styleId="Hyperlink">
    <w:name w:val="Hyperlink"/>
    <w:basedOn w:val="DefaultParagraphFont"/>
    <w:uiPriority w:val="99"/>
    <w:unhideWhenUsed/>
    <w:rsid w:val="00A427E3"/>
    <w:rPr>
      <w:color w:val="0563C1" w:themeColor="hyperlink"/>
      <w:u w:val="single"/>
    </w:rPr>
  </w:style>
  <w:style w:type="table" w:customStyle="1" w:styleId="TableGrid1">
    <w:name w:val="Table Grid1"/>
    <w:basedOn w:val="TableNormal"/>
    <w:next w:val="TableGrid"/>
    <w:uiPriority w:val="39"/>
    <w:rsid w:val="007C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2B"/>
    <w:rPr>
      <w:rFonts w:ascii="Segoe UI" w:hAnsi="Segoe UI" w:cs="Segoe UI"/>
      <w:sz w:val="18"/>
      <w:szCs w:val="18"/>
    </w:rPr>
  </w:style>
  <w:style w:type="character" w:styleId="CommentReference">
    <w:name w:val="annotation reference"/>
    <w:basedOn w:val="DefaultParagraphFont"/>
    <w:uiPriority w:val="99"/>
    <w:semiHidden/>
    <w:unhideWhenUsed/>
    <w:rsid w:val="0084347E"/>
    <w:rPr>
      <w:sz w:val="16"/>
      <w:szCs w:val="16"/>
    </w:rPr>
  </w:style>
  <w:style w:type="paragraph" w:styleId="CommentText">
    <w:name w:val="annotation text"/>
    <w:basedOn w:val="Normal"/>
    <w:link w:val="CommentTextChar"/>
    <w:uiPriority w:val="99"/>
    <w:semiHidden/>
    <w:unhideWhenUsed/>
    <w:rsid w:val="0084347E"/>
    <w:pPr>
      <w:spacing w:line="240" w:lineRule="auto"/>
    </w:pPr>
    <w:rPr>
      <w:sz w:val="20"/>
      <w:szCs w:val="20"/>
    </w:rPr>
  </w:style>
  <w:style w:type="character" w:customStyle="1" w:styleId="CommentTextChar">
    <w:name w:val="Comment Text Char"/>
    <w:basedOn w:val="DefaultParagraphFont"/>
    <w:link w:val="CommentText"/>
    <w:uiPriority w:val="99"/>
    <w:semiHidden/>
    <w:rsid w:val="0084347E"/>
    <w:rPr>
      <w:sz w:val="20"/>
      <w:szCs w:val="20"/>
    </w:rPr>
  </w:style>
  <w:style w:type="paragraph" w:styleId="CommentSubject">
    <w:name w:val="annotation subject"/>
    <w:basedOn w:val="CommentText"/>
    <w:next w:val="CommentText"/>
    <w:link w:val="CommentSubjectChar"/>
    <w:uiPriority w:val="99"/>
    <w:semiHidden/>
    <w:unhideWhenUsed/>
    <w:rsid w:val="0084347E"/>
    <w:rPr>
      <w:b/>
      <w:bCs/>
    </w:rPr>
  </w:style>
  <w:style w:type="character" w:customStyle="1" w:styleId="CommentSubjectChar">
    <w:name w:val="Comment Subject Char"/>
    <w:basedOn w:val="CommentTextChar"/>
    <w:link w:val="CommentSubject"/>
    <w:uiPriority w:val="99"/>
    <w:semiHidden/>
    <w:rsid w:val="0084347E"/>
    <w:rPr>
      <w:b/>
      <w:bCs/>
      <w:sz w:val="20"/>
      <w:szCs w:val="20"/>
    </w:rPr>
  </w:style>
  <w:style w:type="paragraph" w:styleId="Header">
    <w:name w:val="header"/>
    <w:basedOn w:val="Normal"/>
    <w:link w:val="HeaderChar"/>
    <w:uiPriority w:val="99"/>
    <w:unhideWhenUsed/>
    <w:rsid w:val="00433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292"/>
  </w:style>
  <w:style w:type="paragraph" w:styleId="Footer">
    <w:name w:val="footer"/>
    <w:basedOn w:val="Normal"/>
    <w:link w:val="FooterChar"/>
    <w:uiPriority w:val="99"/>
    <w:unhideWhenUsed/>
    <w:rsid w:val="00433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292"/>
  </w:style>
  <w:style w:type="paragraph" w:styleId="Revision">
    <w:name w:val="Revision"/>
    <w:hidden/>
    <w:uiPriority w:val="99"/>
    <w:semiHidden/>
    <w:rsid w:val="00675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4315">
      <w:bodyDiv w:val="1"/>
      <w:marLeft w:val="0"/>
      <w:marRight w:val="0"/>
      <w:marTop w:val="0"/>
      <w:marBottom w:val="0"/>
      <w:divBdr>
        <w:top w:val="none" w:sz="0" w:space="0" w:color="auto"/>
        <w:left w:val="none" w:sz="0" w:space="0" w:color="auto"/>
        <w:bottom w:val="none" w:sz="0" w:space="0" w:color="auto"/>
        <w:right w:val="none" w:sz="0" w:space="0" w:color="auto"/>
      </w:divBdr>
    </w:div>
    <w:div w:id="910431224">
      <w:bodyDiv w:val="1"/>
      <w:marLeft w:val="0"/>
      <w:marRight w:val="0"/>
      <w:marTop w:val="0"/>
      <w:marBottom w:val="0"/>
      <w:divBdr>
        <w:top w:val="none" w:sz="0" w:space="0" w:color="auto"/>
        <w:left w:val="none" w:sz="0" w:space="0" w:color="auto"/>
        <w:bottom w:val="none" w:sz="0" w:space="0" w:color="auto"/>
        <w:right w:val="none" w:sz="0" w:space="0" w:color="auto"/>
      </w:divBdr>
    </w:div>
    <w:div w:id="930285132">
      <w:bodyDiv w:val="1"/>
      <w:marLeft w:val="0"/>
      <w:marRight w:val="0"/>
      <w:marTop w:val="0"/>
      <w:marBottom w:val="0"/>
      <w:divBdr>
        <w:top w:val="none" w:sz="0" w:space="0" w:color="auto"/>
        <w:left w:val="none" w:sz="0" w:space="0" w:color="auto"/>
        <w:bottom w:val="none" w:sz="0" w:space="0" w:color="auto"/>
        <w:right w:val="none" w:sz="0" w:space="0" w:color="auto"/>
      </w:divBdr>
    </w:div>
    <w:div w:id="1320111308">
      <w:bodyDiv w:val="1"/>
      <w:marLeft w:val="0"/>
      <w:marRight w:val="0"/>
      <w:marTop w:val="0"/>
      <w:marBottom w:val="0"/>
      <w:divBdr>
        <w:top w:val="none" w:sz="0" w:space="0" w:color="auto"/>
        <w:left w:val="none" w:sz="0" w:space="0" w:color="auto"/>
        <w:bottom w:val="none" w:sz="0" w:space="0" w:color="auto"/>
        <w:right w:val="none" w:sz="0" w:space="0" w:color="auto"/>
      </w:divBdr>
    </w:div>
    <w:div w:id="1424566523">
      <w:bodyDiv w:val="1"/>
      <w:marLeft w:val="0"/>
      <w:marRight w:val="0"/>
      <w:marTop w:val="0"/>
      <w:marBottom w:val="0"/>
      <w:divBdr>
        <w:top w:val="none" w:sz="0" w:space="0" w:color="auto"/>
        <w:left w:val="none" w:sz="0" w:space="0" w:color="auto"/>
        <w:bottom w:val="none" w:sz="0" w:space="0" w:color="auto"/>
        <w:right w:val="none" w:sz="0" w:space="0" w:color="auto"/>
      </w:divBdr>
    </w:div>
    <w:div w:id="1892383973">
      <w:bodyDiv w:val="1"/>
      <w:marLeft w:val="0"/>
      <w:marRight w:val="0"/>
      <w:marTop w:val="0"/>
      <w:marBottom w:val="0"/>
      <w:divBdr>
        <w:top w:val="none" w:sz="0" w:space="0" w:color="auto"/>
        <w:left w:val="none" w:sz="0" w:space="0" w:color="auto"/>
        <w:bottom w:val="none" w:sz="0" w:space="0" w:color="auto"/>
        <w:right w:val="none" w:sz="0" w:space="0" w:color="auto"/>
      </w:divBdr>
    </w:div>
    <w:div w:id="2034451237">
      <w:bodyDiv w:val="1"/>
      <w:marLeft w:val="0"/>
      <w:marRight w:val="0"/>
      <w:marTop w:val="0"/>
      <w:marBottom w:val="0"/>
      <w:divBdr>
        <w:top w:val="none" w:sz="0" w:space="0" w:color="auto"/>
        <w:left w:val="none" w:sz="0" w:space="0" w:color="auto"/>
        <w:bottom w:val="none" w:sz="0" w:space="0" w:color="auto"/>
        <w:right w:val="none" w:sz="0" w:space="0" w:color="auto"/>
      </w:divBdr>
    </w:div>
    <w:div w:id="20995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ublications/youth-homelessness-2018-19-statistics/" TargetMode="External"/><Relationship Id="rId3" Type="http://schemas.openxmlformats.org/officeDocument/2006/relationships/hyperlink" Target="https://ysaatio.fi/en/nordic-homelessness-alliance-founded/" TargetMode="External"/><Relationship Id="rId7" Type="http://schemas.openxmlformats.org/officeDocument/2006/relationships/hyperlink" Target="https://rentbetter.indigohousegroup.com/findings/rentbetter-wave-2-full-reports/" TargetMode="External"/><Relationship Id="rId2" Type="http://schemas.openxmlformats.org/officeDocument/2006/relationships/hyperlink" Target="https://ysaatio.fi/en/" TargetMode="External"/><Relationship Id="rId1" Type="http://schemas.openxmlformats.org/officeDocument/2006/relationships/hyperlink" Target="https://www.gov.scot/publications/housing-statistics-2020-2021-key-trends-summary/documents/" TargetMode="External"/><Relationship Id="rId6" Type="http://schemas.openxmlformats.org/officeDocument/2006/relationships/hyperlink" Target="https://www.cih.org/media/j3idttra/0362-rapid-rehousing-transition-plans-report-2-v3.pdf?_cldee=T98oAlt7J6POvQepNrkffO4sSGOX7RWg-EBKk-iux2pwFwrEd6Gll5-COMcvuffJIxRVRzmcpAybLHyYdyulSw&amp;recipientid=contact-367051004ab8ed11b59600224801e21a-ef49e9398b334547ab1b2f9a2f953613&amp;esid=51d20975-3bb8-ed11-b596-00224801eb28" TargetMode="External"/><Relationship Id="rId5" Type="http://schemas.openxmlformats.org/officeDocument/2006/relationships/hyperlink" Target="https://www.housingregulator.gov.scot/media/1884/homelessness-services-in-scotland-a-thematic-review-february-2023.pdf" TargetMode="External"/><Relationship Id="rId4" Type="http://schemas.openxmlformats.org/officeDocument/2006/relationships/hyperlink" Target="https://www.cih.org/media/j3idttra/0362-rapid-rehousing-transition-plans-report-2-v3.pdf?_cldee=T98oAlt7J6POvQepNrkffO4sSGOX7RWg-EBKk-iux2pwFwrEd6Gll5-COMcvuffJIxRVRzmcpAybLHyYdyulSw&amp;recipientid=contact-367051004ab8ed11b59600224801e21a-ef49e9398b334547ab1b2f9a2f953613&amp;esid=51d20975-3bb8-ed11-b596-00224801eb28" TargetMode="External"/><Relationship Id="rId9" Type="http://schemas.openxmlformats.org/officeDocument/2006/relationships/hyperlink" Target="https://www.cih.org/media/j3idttra/0362-rapid-rehousing-transition-plans-report-2-v3.pdf?_cldee=T98oAlt7J6POvQepNrkffO4sSGOX7RWg-EBKk-iux2pwFwrEd6Gll5-COMcvuffJIxRVRzmcpAybLHyYdyulSw&amp;recipientid=contact-367051004ab8ed11b59600224801e21a-ef49e9398b334547ab1b2f9a2f953613&amp;esid=51d20975-3bb8-ed11-b596-00224801eb2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'Number of P1s'!$A$2</c:f>
              <c:strCache>
                <c:ptCount val="1"/>
                <c:pt idx="0">
                  <c:v>Number Prevent1 cases</c:v>
                </c:pt>
              </c:strCache>
            </c:strRef>
          </c:tx>
          <c:spPr>
            <a:solidFill>
              <a:schemeClr val="accent1"/>
            </a:solidFill>
            <a:ln>
              <a:noFill/>
            </a:ln>
            <a:effectLst/>
          </c:spPr>
          <c:invertIfNegative val="0"/>
          <c:cat>
            <c:strRef>
              <c:f>'Number of P1s'!$B$1:$F$1</c:f>
              <c:strCache>
                <c:ptCount val="5"/>
                <c:pt idx="0">
                  <c:v>2018/19</c:v>
                </c:pt>
                <c:pt idx="1">
                  <c:v>2019/20</c:v>
                </c:pt>
                <c:pt idx="2">
                  <c:v>2020/21</c:v>
                </c:pt>
                <c:pt idx="3">
                  <c:v>2021/22</c:v>
                </c:pt>
                <c:pt idx="4">
                  <c:v>2022/23</c:v>
                </c:pt>
              </c:strCache>
            </c:strRef>
          </c:cat>
          <c:val>
            <c:numRef>
              <c:f>'Number of P1s'!$B$2:$F$2</c:f>
              <c:numCache>
                <c:formatCode>General</c:formatCode>
                <c:ptCount val="5"/>
                <c:pt idx="0">
                  <c:v>702</c:v>
                </c:pt>
                <c:pt idx="1">
                  <c:v>619</c:v>
                </c:pt>
                <c:pt idx="2">
                  <c:v>695</c:v>
                </c:pt>
                <c:pt idx="3">
                  <c:v>700</c:v>
                </c:pt>
                <c:pt idx="4">
                  <c:v>682</c:v>
                </c:pt>
              </c:numCache>
            </c:numRef>
          </c:val>
          <c:extLst>
            <c:ext xmlns:c16="http://schemas.microsoft.com/office/drawing/2014/chart" uri="{C3380CC4-5D6E-409C-BE32-E72D297353CC}">
              <c16:uniqueId val="{00000000-44D1-4E65-89BE-3EE837351913}"/>
            </c:ext>
          </c:extLst>
        </c:ser>
        <c:dLbls>
          <c:showLegendKey val="0"/>
          <c:showVal val="0"/>
          <c:showCatName val="0"/>
          <c:showSerName val="0"/>
          <c:showPercent val="0"/>
          <c:showBubbleSize val="0"/>
        </c:dLbls>
        <c:gapWidth val="219"/>
        <c:overlap val="-27"/>
        <c:axId val="882542784"/>
        <c:axId val="882545080"/>
      </c:barChart>
      <c:lineChart>
        <c:grouping val="standard"/>
        <c:varyColors val="0"/>
        <c:ser>
          <c:idx val="1"/>
          <c:order val="1"/>
          <c:tx>
            <c:strRef>
              <c:f>'Number of P1s'!$A$3</c:f>
              <c:strCache>
                <c:ptCount val="1"/>
                <c:pt idx="0">
                  <c:v>% P1 to HL1</c:v>
                </c:pt>
              </c:strCache>
            </c:strRef>
          </c:tx>
          <c:spPr>
            <a:ln w="28575" cap="rnd">
              <a:solidFill>
                <a:schemeClr val="accent2"/>
              </a:solidFill>
              <a:round/>
            </a:ln>
            <a:effectLst/>
          </c:spPr>
          <c:marker>
            <c:symbol val="none"/>
          </c:marker>
          <c:cat>
            <c:strRef>
              <c:f>'Number of P1s'!$B$1:$F$1</c:f>
              <c:strCache>
                <c:ptCount val="5"/>
                <c:pt idx="0">
                  <c:v>2018/19</c:v>
                </c:pt>
                <c:pt idx="1">
                  <c:v>2019/20</c:v>
                </c:pt>
                <c:pt idx="2">
                  <c:v>2020/21</c:v>
                </c:pt>
                <c:pt idx="3">
                  <c:v>2021/22</c:v>
                </c:pt>
                <c:pt idx="4">
                  <c:v>2022/23</c:v>
                </c:pt>
              </c:strCache>
            </c:strRef>
          </c:cat>
          <c:val>
            <c:numRef>
              <c:f>'Number of P1s'!$B$3:$F$3</c:f>
              <c:numCache>
                <c:formatCode>0%</c:formatCode>
                <c:ptCount val="5"/>
                <c:pt idx="0">
                  <c:v>0.28000000000000003</c:v>
                </c:pt>
                <c:pt idx="1">
                  <c:v>0.41</c:v>
                </c:pt>
                <c:pt idx="2">
                  <c:v>0.43</c:v>
                </c:pt>
                <c:pt idx="3">
                  <c:v>0.48</c:v>
                </c:pt>
                <c:pt idx="4">
                  <c:v>0.39</c:v>
                </c:pt>
              </c:numCache>
            </c:numRef>
          </c:val>
          <c:smooth val="0"/>
          <c:extLst>
            <c:ext xmlns:c16="http://schemas.microsoft.com/office/drawing/2014/chart" uri="{C3380CC4-5D6E-409C-BE32-E72D297353CC}">
              <c16:uniqueId val="{00000001-44D1-4E65-89BE-3EE837351913}"/>
            </c:ext>
          </c:extLst>
        </c:ser>
        <c:dLbls>
          <c:showLegendKey val="0"/>
          <c:showVal val="0"/>
          <c:showCatName val="0"/>
          <c:showSerName val="0"/>
          <c:showPercent val="0"/>
          <c:showBubbleSize val="0"/>
        </c:dLbls>
        <c:marker val="1"/>
        <c:smooth val="0"/>
        <c:axId val="882537864"/>
        <c:axId val="882530976"/>
      </c:lineChart>
      <c:catAx>
        <c:axId val="8825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45080"/>
        <c:crosses val="autoZero"/>
        <c:auto val="1"/>
        <c:lblAlgn val="ctr"/>
        <c:lblOffset val="100"/>
        <c:noMultiLvlLbl val="0"/>
      </c:catAx>
      <c:valAx>
        <c:axId val="882545080"/>
        <c:scaling>
          <c:orientation val="minMax"/>
          <c:min val="3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42784"/>
        <c:crosses val="autoZero"/>
        <c:crossBetween val="between"/>
      </c:valAx>
      <c:valAx>
        <c:axId val="882530976"/>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37864"/>
        <c:crosses val="max"/>
        <c:crossBetween val="between"/>
      </c:valAx>
      <c:catAx>
        <c:axId val="882537864"/>
        <c:scaling>
          <c:orientation val="minMax"/>
        </c:scaling>
        <c:delete val="1"/>
        <c:axPos val="b"/>
        <c:numFmt formatCode="General" sourceLinked="1"/>
        <c:majorTickMark val="out"/>
        <c:minorTickMark val="none"/>
        <c:tickLblPos val="nextTo"/>
        <c:crossAx val="882530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'Reason for application'!$B$1</c:f>
              <c:strCache>
                <c:ptCount val="1"/>
                <c:pt idx="0">
                  <c:v>2018/19 </c:v>
                </c:pt>
              </c:strCache>
            </c:strRef>
          </c:tx>
          <c:spPr>
            <a:solidFill>
              <a:schemeClr val="accent1"/>
            </a:solidFill>
            <a:ln>
              <a:noFill/>
            </a:ln>
            <a:effectLst/>
          </c:spPr>
          <c:invertIfNegative val="0"/>
          <c:cat>
            <c:strRef>
              <c:f>'Reason for application'!$A$2:$A$6</c:f>
              <c:strCache>
                <c:ptCount val="5"/>
                <c:pt idx="0">
                  <c:v>Asked to leave</c:v>
                </c:pt>
                <c:pt idx="1">
                  <c:v>Other action by landlord resulting in the termination of the tenancy</c:v>
                </c:pt>
                <c:pt idx="2">
                  <c:v>Dispute within household / relationship breakdown: non-violent</c:v>
                </c:pt>
                <c:pt idx="3">
                  <c:v>Discharge from prison / hospital / care / other institution</c:v>
                </c:pt>
                <c:pt idx="4">
                  <c:v>Dispute within household: violent or abusive</c:v>
                </c:pt>
              </c:strCache>
            </c:strRef>
          </c:cat>
          <c:val>
            <c:numRef>
              <c:f>'Reason for application'!$B$2:$B$6</c:f>
              <c:numCache>
                <c:formatCode>0%</c:formatCode>
                <c:ptCount val="5"/>
                <c:pt idx="0">
                  <c:v>0.22926829268292684</c:v>
                </c:pt>
                <c:pt idx="1">
                  <c:v>8.2926829268292687E-2</c:v>
                </c:pt>
                <c:pt idx="2">
                  <c:v>0.17560975609756097</c:v>
                </c:pt>
                <c:pt idx="3">
                  <c:v>0.2</c:v>
                </c:pt>
                <c:pt idx="4">
                  <c:v>0.1024390243902439</c:v>
                </c:pt>
              </c:numCache>
            </c:numRef>
          </c:val>
          <c:extLst>
            <c:ext xmlns:c16="http://schemas.microsoft.com/office/drawing/2014/chart" uri="{C3380CC4-5D6E-409C-BE32-E72D297353CC}">
              <c16:uniqueId val="{00000000-6239-4850-AEF3-8F6A19A1E25F}"/>
            </c:ext>
          </c:extLst>
        </c:ser>
        <c:ser>
          <c:idx val="1"/>
          <c:order val="1"/>
          <c:tx>
            <c:strRef>
              <c:f>'Reason for application'!$C$1</c:f>
              <c:strCache>
                <c:ptCount val="1"/>
                <c:pt idx="0">
                  <c:v>2019/20</c:v>
                </c:pt>
              </c:strCache>
            </c:strRef>
          </c:tx>
          <c:spPr>
            <a:solidFill>
              <a:schemeClr val="accent2"/>
            </a:solidFill>
            <a:ln>
              <a:noFill/>
            </a:ln>
            <a:effectLst/>
          </c:spPr>
          <c:invertIfNegative val="0"/>
          <c:cat>
            <c:strRef>
              <c:f>'Reason for application'!$A$2:$A$6</c:f>
              <c:strCache>
                <c:ptCount val="5"/>
                <c:pt idx="0">
                  <c:v>Asked to leave</c:v>
                </c:pt>
                <c:pt idx="1">
                  <c:v>Other action by landlord resulting in the termination of the tenancy</c:v>
                </c:pt>
                <c:pt idx="2">
                  <c:v>Dispute within household / relationship breakdown: non-violent</c:v>
                </c:pt>
                <c:pt idx="3">
                  <c:v>Discharge from prison / hospital / care / other institution</c:v>
                </c:pt>
                <c:pt idx="4">
                  <c:v>Dispute within household: violent or abusive</c:v>
                </c:pt>
              </c:strCache>
            </c:strRef>
          </c:cat>
          <c:val>
            <c:numRef>
              <c:f>'Reason for application'!$C$2:$C$6</c:f>
              <c:numCache>
                <c:formatCode>0%</c:formatCode>
                <c:ptCount val="5"/>
                <c:pt idx="0">
                  <c:v>0.20784313725490197</c:v>
                </c:pt>
                <c:pt idx="1">
                  <c:v>6.2745098039215685E-2</c:v>
                </c:pt>
                <c:pt idx="2">
                  <c:v>0.14117647058823529</c:v>
                </c:pt>
                <c:pt idx="3">
                  <c:v>0.19607843137254902</c:v>
                </c:pt>
                <c:pt idx="4">
                  <c:v>0.13725490196078433</c:v>
                </c:pt>
              </c:numCache>
            </c:numRef>
          </c:val>
          <c:extLst>
            <c:ext xmlns:c16="http://schemas.microsoft.com/office/drawing/2014/chart" uri="{C3380CC4-5D6E-409C-BE32-E72D297353CC}">
              <c16:uniqueId val="{00000001-6239-4850-AEF3-8F6A19A1E25F}"/>
            </c:ext>
          </c:extLst>
        </c:ser>
        <c:ser>
          <c:idx val="2"/>
          <c:order val="2"/>
          <c:tx>
            <c:strRef>
              <c:f>'Reason for application'!$D$1</c:f>
              <c:strCache>
                <c:ptCount val="1"/>
                <c:pt idx="0">
                  <c:v>2020/21</c:v>
                </c:pt>
              </c:strCache>
            </c:strRef>
          </c:tx>
          <c:spPr>
            <a:solidFill>
              <a:schemeClr val="accent3"/>
            </a:solidFill>
            <a:ln>
              <a:noFill/>
            </a:ln>
            <a:effectLst/>
          </c:spPr>
          <c:invertIfNegative val="0"/>
          <c:cat>
            <c:strRef>
              <c:f>'Reason for application'!$A$2:$A$6</c:f>
              <c:strCache>
                <c:ptCount val="5"/>
                <c:pt idx="0">
                  <c:v>Asked to leave</c:v>
                </c:pt>
                <c:pt idx="1">
                  <c:v>Other action by landlord resulting in the termination of the tenancy</c:v>
                </c:pt>
                <c:pt idx="2">
                  <c:v>Dispute within household / relationship breakdown: non-violent</c:v>
                </c:pt>
                <c:pt idx="3">
                  <c:v>Discharge from prison / hospital / care / other institution</c:v>
                </c:pt>
                <c:pt idx="4">
                  <c:v>Dispute within household: violent or abusive</c:v>
                </c:pt>
              </c:strCache>
            </c:strRef>
          </c:cat>
          <c:val>
            <c:numRef>
              <c:f>'Reason for application'!$D$2:$D$6</c:f>
              <c:numCache>
                <c:formatCode>0%</c:formatCode>
                <c:ptCount val="5"/>
                <c:pt idx="0">
                  <c:v>0.27009646302250806</c:v>
                </c:pt>
                <c:pt idx="1">
                  <c:v>7.0739549839228297E-2</c:v>
                </c:pt>
                <c:pt idx="2">
                  <c:v>0.17041800643086816</c:v>
                </c:pt>
                <c:pt idx="3">
                  <c:v>0.17041800643086816</c:v>
                </c:pt>
                <c:pt idx="4">
                  <c:v>0.12218649517684887</c:v>
                </c:pt>
              </c:numCache>
            </c:numRef>
          </c:val>
          <c:extLst>
            <c:ext xmlns:c16="http://schemas.microsoft.com/office/drawing/2014/chart" uri="{C3380CC4-5D6E-409C-BE32-E72D297353CC}">
              <c16:uniqueId val="{00000002-6239-4850-AEF3-8F6A19A1E25F}"/>
            </c:ext>
          </c:extLst>
        </c:ser>
        <c:ser>
          <c:idx val="3"/>
          <c:order val="3"/>
          <c:tx>
            <c:strRef>
              <c:f>'Reason for application'!$E$1</c:f>
              <c:strCache>
                <c:ptCount val="1"/>
                <c:pt idx="0">
                  <c:v>2021/22</c:v>
                </c:pt>
              </c:strCache>
            </c:strRef>
          </c:tx>
          <c:spPr>
            <a:solidFill>
              <a:schemeClr val="accent4"/>
            </a:solidFill>
            <a:ln>
              <a:noFill/>
            </a:ln>
            <a:effectLst/>
          </c:spPr>
          <c:invertIfNegative val="0"/>
          <c:cat>
            <c:strRef>
              <c:f>'Reason for application'!$A$2:$A$6</c:f>
              <c:strCache>
                <c:ptCount val="5"/>
                <c:pt idx="0">
                  <c:v>Asked to leave</c:v>
                </c:pt>
                <c:pt idx="1">
                  <c:v>Other action by landlord resulting in the termination of the tenancy</c:v>
                </c:pt>
                <c:pt idx="2">
                  <c:v>Dispute within household / relationship breakdown: non-violent</c:v>
                </c:pt>
                <c:pt idx="3">
                  <c:v>Discharge from prison / hospital / care / other institution</c:v>
                </c:pt>
                <c:pt idx="4">
                  <c:v>Dispute within household: violent or abusive</c:v>
                </c:pt>
              </c:strCache>
            </c:strRef>
          </c:cat>
          <c:val>
            <c:numRef>
              <c:f>'Reason for application'!$E$2:$E$6</c:f>
              <c:numCache>
                <c:formatCode>0%</c:formatCode>
                <c:ptCount val="5"/>
                <c:pt idx="0">
                  <c:v>0.30959752321981426</c:v>
                </c:pt>
                <c:pt idx="1">
                  <c:v>9.9071207430340563E-2</c:v>
                </c:pt>
                <c:pt idx="2">
                  <c:v>0.13312693498452013</c:v>
                </c:pt>
                <c:pt idx="3">
                  <c:v>0.13622291021671826</c:v>
                </c:pt>
                <c:pt idx="4">
                  <c:v>0.11764705882352941</c:v>
                </c:pt>
              </c:numCache>
            </c:numRef>
          </c:val>
          <c:extLst>
            <c:ext xmlns:c16="http://schemas.microsoft.com/office/drawing/2014/chart" uri="{C3380CC4-5D6E-409C-BE32-E72D297353CC}">
              <c16:uniqueId val="{00000003-6239-4850-AEF3-8F6A19A1E25F}"/>
            </c:ext>
          </c:extLst>
        </c:ser>
        <c:ser>
          <c:idx val="4"/>
          <c:order val="4"/>
          <c:tx>
            <c:strRef>
              <c:f>'Reason for application'!$F$1</c:f>
              <c:strCache>
                <c:ptCount val="1"/>
                <c:pt idx="0">
                  <c:v>2022/23</c:v>
                </c:pt>
              </c:strCache>
            </c:strRef>
          </c:tx>
          <c:spPr>
            <a:solidFill>
              <a:schemeClr val="accent5"/>
            </a:solidFill>
            <a:ln>
              <a:noFill/>
            </a:ln>
            <a:effectLst/>
          </c:spPr>
          <c:invertIfNegative val="0"/>
          <c:cat>
            <c:strRef>
              <c:f>'Reason for application'!$A$2:$A$6</c:f>
              <c:strCache>
                <c:ptCount val="5"/>
                <c:pt idx="0">
                  <c:v>Asked to leave</c:v>
                </c:pt>
                <c:pt idx="1">
                  <c:v>Other action by landlord resulting in the termination of the tenancy</c:v>
                </c:pt>
                <c:pt idx="2">
                  <c:v>Dispute within household / relationship breakdown: non-violent</c:v>
                </c:pt>
                <c:pt idx="3">
                  <c:v>Discharge from prison / hospital / care / other institution</c:v>
                </c:pt>
                <c:pt idx="4">
                  <c:v>Dispute within household: violent or abusive</c:v>
                </c:pt>
              </c:strCache>
            </c:strRef>
          </c:cat>
          <c:val>
            <c:numRef>
              <c:f>'Reason for application'!$F$2:$F$6</c:f>
              <c:numCache>
                <c:formatCode>0%</c:formatCode>
                <c:ptCount val="5"/>
                <c:pt idx="0">
                  <c:v>0.33</c:v>
                </c:pt>
                <c:pt idx="1">
                  <c:v>0.16</c:v>
                </c:pt>
                <c:pt idx="2">
                  <c:v>0.13</c:v>
                </c:pt>
                <c:pt idx="3">
                  <c:v>0.11</c:v>
                </c:pt>
                <c:pt idx="4">
                  <c:v>0.09</c:v>
                </c:pt>
              </c:numCache>
            </c:numRef>
          </c:val>
          <c:extLst>
            <c:ext xmlns:c16="http://schemas.microsoft.com/office/drawing/2014/chart" uri="{C3380CC4-5D6E-409C-BE32-E72D297353CC}">
              <c16:uniqueId val="{00000004-6239-4850-AEF3-8F6A19A1E25F}"/>
            </c:ext>
          </c:extLst>
        </c:ser>
        <c:dLbls>
          <c:showLegendKey val="0"/>
          <c:showVal val="0"/>
          <c:showCatName val="0"/>
          <c:showSerName val="0"/>
          <c:showPercent val="0"/>
          <c:showBubbleSize val="0"/>
        </c:dLbls>
        <c:gapWidth val="182"/>
        <c:axId val="853291048"/>
        <c:axId val="853292032"/>
      </c:barChart>
      <c:catAx>
        <c:axId val="853291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292032"/>
        <c:crosses val="autoZero"/>
        <c:auto val="1"/>
        <c:lblAlgn val="ctr"/>
        <c:lblOffset val="100"/>
        <c:noMultiLvlLbl val="0"/>
      </c:catAx>
      <c:valAx>
        <c:axId val="85329203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291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'Household comp'!$A$2</c:f>
              <c:strCache>
                <c:ptCount val="1"/>
                <c:pt idx="0">
                  <c:v>Single Person</c:v>
                </c:pt>
              </c:strCache>
            </c:strRef>
          </c:tx>
          <c:spPr>
            <a:solidFill>
              <a:schemeClr val="accent1"/>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comp'!$B$2:$F$2</c:f>
              <c:numCache>
                <c:formatCode>General</c:formatCode>
                <c:ptCount val="5"/>
                <c:pt idx="0">
                  <c:v>179</c:v>
                </c:pt>
                <c:pt idx="1">
                  <c:v>210</c:v>
                </c:pt>
                <c:pt idx="2">
                  <c:v>254</c:v>
                </c:pt>
                <c:pt idx="3">
                  <c:v>246</c:v>
                </c:pt>
                <c:pt idx="4">
                  <c:v>209</c:v>
                </c:pt>
              </c:numCache>
            </c:numRef>
          </c:val>
          <c:extLst>
            <c:ext xmlns:c16="http://schemas.microsoft.com/office/drawing/2014/chart" uri="{C3380CC4-5D6E-409C-BE32-E72D297353CC}">
              <c16:uniqueId val="{00000000-66DB-4C0F-9DA1-C97324EBBD26}"/>
            </c:ext>
          </c:extLst>
        </c:ser>
        <c:ser>
          <c:idx val="1"/>
          <c:order val="1"/>
          <c:tx>
            <c:strRef>
              <c:f>'Household comp'!$A$3</c:f>
              <c:strCache>
                <c:ptCount val="1"/>
                <c:pt idx="0">
                  <c:v>Single Parent</c:v>
                </c:pt>
              </c:strCache>
            </c:strRef>
          </c:tx>
          <c:spPr>
            <a:solidFill>
              <a:schemeClr val="accent2"/>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comp'!$B$3:$F$3</c:f>
              <c:numCache>
                <c:formatCode>General</c:formatCode>
                <c:ptCount val="5"/>
                <c:pt idx="0">
                  <c:v>15</c:v>
                </c:pt>
                <c:pt idx="1">
                  <c:v>32</c:v>
                </c:pt>
                <c:pt idx="2">
                  <c:v>44</c:v>
                </c:pt>
                <c:pt idx="3">
                  <c:v>60</c:v>
                </c:pt>
                <c:pt idx="4">
                  <c:v>64</c:v>
                </c:pt>
              </c:numCache>
            </c:numRef>
          </c:val>
          <c:extLst>
            <c:ext xmlns:c16="http://schemas.microsoft.com/office/drawing/2014/chart" uri="{C3380CC4-5D6E-409C-BE32-E72D297353CC}">
              <c16:uniqueId val="{00000001-66DB-4C0F-9DA1-C97324EBBD26}"/>
            </c:ext>
          </c:extLst>
        </c:ser>
        <c:ser>
          <c:idx val="2"/>
          <c:order val="2"/>
          <c:tx>
            <c:strRef>
              <c:f>'Household comp'!$A$4</c:f>
              <c:strCache>
                <c:ptCount val="1"/>
                <c:pt idx="0">
                  <c:v>Couple</c:v>
                </c:pt>
              </c:strCache>
            </c:strRef>
          </c:tx>
          <c:spPr>
            <a:solidFill>
              <a:schemeClr val="accent3"/>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comp'!$B$4:$F$4</c:f>
              <c:numCache>
                <c:formatCode>General</c:formatCode>
                <c:ptCount val="5"/>
                <c:pt idx="0">
                  <c:v>7</c:v>
                </c:pt>
                <c:pt idx="1">
                  <c:v>4</c:v>
                </c:pt>
                <c:pt idx="2">
                  <c:v>4</c:v>
                </c:pt>
                <c:pt idx="3">
                  <c:v>7</c:v>
                </c:pt>
                <c:pt idx="4">
                  <c:v>3</c:v>
                </c:pt>
              </c:numCache>
            </c:numRef>
          </c:val>
          <c:extLst>
            <c:ext xmlns:c16="http://schemas.microsoft.com/office/drawing/2014/chart" uri="{C3380CC4-5D6E-409C-BE32-E72D297353CC}">
              <c16:uniqueId val="{00000002-66DB-4C0F-9DA1-C97324EBBD26}"/>
            </c:ext>
          </c:extLst>
        </c:ser>
        <c:ser>
          <c:idx val="3"/>
          <c:order val="3"/>
          <c:tx>
            <c:strRef>
              <c:f>'Household comp'!$A$5</c:f>
              <c:strCache>
                <c:ptCount val="1"/>
                <c:pt idx="0">
                  <c:v>Couple with Children</c:v>
                </c:pt>
              </c:strCache>
            </c:strRef>
          </c:tx>
          <c:spPr>
            <a:solidFill>
              <a:schemeClr val="accent4"/>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comp'!$B$5:$F$5</c:f>
              <c:numCache>
                <c:formatCode>General</c:formatCode>
                <c:ptCount val="5"/>
                <c:pt idx="0">
                  <c:v>1</c:v>
                </c:pt>
                <c:pt idx="1">
                  <c:v>7</c:v>
                </c:pt>
                <c:pt idx="2">
                  <c:v>8</c:v>
                </c:pt>
                <c:pt idx="3">
                  <c:v>8</c:v>
                </c:pt>
                <c:pt idx="4">
                  <c:v>12</c:v>
                </c:pt>
              </c:numCache>
            </c:numRef>
          </c:val>
          <c:extLst>
            <c:ext xmlns:c16="http://schemas.microsoft.com/office/drawing/2014/chart" uri="{C3380CC4-5D6E-409C-BE32-E72D297353CC}">
              <c16:uniqueId val="{00000003-66DB-4C0F-9DA1-C97324EBBD26}"/>
            </c:ext>
          </c:extLst>
        </c:ser>
        <c:ser>
          <c:idx val="4"/>
          <c:order val="4"/>
          <c:tx>
            <c:strRef>
              <c:f>'Household comp'!$A$6</c:f>
              <c:strCache>
                <c:ptCount val="1"/>
                <c:pt idx="0">
                  <c:v>Other</c:v>
                </c:pt>
              </c:strCache>
            </c:strRef>
          </c:tx>
          <c:spPr>
            <a:solidFill>
              <a:schemeClr val="accent5"/>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comp'!$B$6:$F$6</c:f>
              <c:numCache>
                <c:formatCode>General</c:formatCode>
                <c:ptCount val="5"/>
                <c:pt idx="0">
                  <c:v>2</c:v>
                </c:pt>
                <c:pt idx="1">
                  <c:v>1</c:v>
                </c:pt>
                <c:pt idx="2">
                  <c:v>0</c:v>
                </c:pt>
                <c:pt idx="3">
                  <c:v>0</c:v>
                </c:pt>
                <c:pt idx="4">
                  <c:v>4</c:v>
                </c:pt>
              </c:numCache>
            </c:numRef>
          </c:val>
          <c:extLst>
            <c:ext xmlns:c16="http://schemas.microsoft.com/office/drawing/2014/chart" uri="{C3380CC4-5D6E-409C-BE32-E72D297353CC}">
              <c16:uniqueId val="{00000004-66DB-4C0F-9DA1-C97324EBBD26}"/>
            </c:ext>
          </c:extLst>
        </c:ser>
        <c:ser>
          <c:idx val="5"/>
          <c:order val="5"/>
          <c:tx>
            <c:strRef>
              <c:f>'Household comp'!$A$7</c:f>
              <c:strCache>
                <c:ptCount val="1"/>
                <c:pt idx="0">
                  <c:v>Other with Children</c:v>
                </c:pt>
              </c:strCache>
            </c:strRef>
          </c:tx>
          <c:spPr>
            <a:solidFill>
              <a:schemeClr val="accent6"/>
            </a:solidFill>
            <a:ln>
              <a:noFill/>
            </a:ln>
            <a:effectLst/>
          </c:spPr>
          <c:invertIfNegative val="0"/>
          <c:cat>
            <c:strRef>
              <c:f>'Household comp'!$B$1:$F$1</c:f>
              <c:strCache>
                <c:ptCount val="5"/>
                <c:pt idx="0">
                  <c:v>2018/2019</c:v>
                </c:pt>
                <c:pt idx="1">
                  <c:v>2019/2020</c:v>
                </c:pt>
                <c:pt idx="2">
                  <c:v>2020/2021</c:v>
                </c:pt>
                <c:pt idx="3">
                  <c:v>2021/2022</c:v>
                </c:pt>
                <c:pt idx="4">
                  <c:v>2022/23</c:v>
                </c:pt>
              </c:strCache>
            </c:strRef>
          </c:cat>
          <c:val>
            <c:numRef>
              <c:f>'Household comp'!$B$7:$F$7</c:f>
              <c:numCache>
                <c:formatCode>General</c:formatCode>
                <c:ptCount val="5"/>
                <c:pt idx="0">
                  <c:v>1</c:v>
                </c:pt>
                <c:pt idx="1">
                  <c:v>1</c:v>
                </c:pt>
                <c:pt idx="2">
                  <c:v>1</c:v>
                </c:pt>
                <c:pt idx="3">
                  <c:v>2</c:v>
                </c:pt>
                <c:pt idx="4">
                  <c:v>0</c:v>
                </c:pt>
              </c:numCache>
            </c:numRef>
          </c:val>
          <c:extLst>
            <c:ext xmlns:c16="http://schemas.microsoft.com/office/drawing/2014/chart" uri="{C3380CC4-5D6E-409C-BE32-E72D297353CC}">
              <c16:uniqueId val="{00000005-66DB-4C0F-9DA1-C97324EBBD26}"/>
            </c:ext>
          </c:extLst>
        </c:ser>
        <c:dLbls>
          <c:showLegendKey val="0"/>
          <c:showVal val="0"/>
          <c:showCatName val="0"/>
          <c:showSerName val="0"/>
          <c:showPercent val="0"/>
          <c:showBubbleSize val="0"/>
        </c:dLbls>
        <c:gapWidth val="150"/>
        <c:overlap val="100"/>
        <c:axId val="252567776"/>
        <c:axId val="252567448"/>
      </c:barChart>
      <c:catAx>
        <c:axId val="25256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567448"/>
        <c:crosses val="autoZero"/>
        <c:auto val="1"/>
        <c:lblAlgn val="ctr"/>
        <c:lblOffset val="100"/>
        <c:noMultiLvlLbl val="0"/>
      </c:catAx>
      <c:valAx>
        <c:axId val="252567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56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55279832445193E-2"/>
          <c:y val="2.5606152377805922E-2"/>
          <c:w val="0.89998954115555285"/>
          <c:h val="0.75036248879814904"/>
        </c:manualLayout>
      </c:layout>
      <c:barChart>
        <c:barDir val="col"/>
        <c:grouping val="clustered"/>
        <c:varyColors val="0"/>
        <c:ser>
          <c:idx val="2"/>
          <c:order val="2"/>
          <c:tx>
            <c:strRef>
              <c:f>'Number of children'!$A$4</c:f>
              <c:strCache>
                <c:ptCount val="1"/>
                <c:pt idx="0">
                  <c:v>no. people associated</c:v>
                </c:pt>
              </c:strCache>
            </c:strRef>
          </c:tx>
          <c:spPr>
            <a:solidFill>
              <a:schemeClr val="accent1"/>
            </a:solidFill>
            <a:ln>
              <a:noFill/>
            </a:ln>
            <a:effectLst/>
          </c:spPr>
          <c:invertIfNegative val="0"/>
          <c:cat>
            <c:strRef>
              <c:f>'Number of children'!$B$1:$F$1</c:f>
              <c:strCache>
                <c:ptCount val="5"/>
                <c:pt idx="0">
                  <c:v>2018/19</c:v>
                </c:pt>
                <c:pt idx="1">
                  <c:v>2019/20</c:v>
                </c:pt>
                <c:pt idx="2">
                  <c:v>2020/21</c:v>
                </c:pt>
                <c:pt idx="3">
                  <c:v>2021/22</c:v>
                </c:pt>
                <c:pt idx="4">
                  <c:v>2022/23</c:v>
                </c:pt>
              </c:strCache>
            </c:strRef>
          </c:cat>
          <c:val>
            <c:numRef>
              <c:f>'Number of children'!$B$4:$F$4</c:f>
              <c:numCache>
                <c:formatCode>#,##0</c:formatCode>
                <c:ptCount val="5"/>
                <c:pt idx="0">
                  <c:v>193</c:v>
                </c:pt>
                <c:pt idx="1">
                  <c:v>268</c:v>
                </c:pt>
                <c:pt idx="2">
                  <c:v>324</c:v>
                </c:pt>
                <c:pt idx="3">
                  <c:v>461</c:v>
                </c:pt>
                <c:pt idx="4">
                  <c:v>459</c:v>
                </c:pt>
              </c:numCache>
            </c:numRef>
          </c:val>
          <c:extLst>
            <c:ext xmlns:c16="http://schemas.microsoft.com/office/drawing/2014/chart" uri="{C3380CC4-5D6E-409C-BE32-E72D297353CC}">
              <c16:uniqueId val="{00000000-1BAB-4E38-A162-5C070CC7D752}"/>
            </c:ext>
          </c:extLst>
        </c:ser>
        <c:dLbls>
          <c:showLegendKey val="0"/>
          <c:showVal val="0"/>
          <c:showCatName val="0"/>
          <c:showSerName val="0"/>
          <c:showPercent val="0"/>
          <c:showBubbleSize val="0"/>
        </c:dLbls>
        <c:gapWidth val="219"/>
        <c:axId val="510717240"/>
        <c:axId val="510717568"/>
      </c:barChart>
      <c:lineChart>
        <c:grouping val="standard"/>
        <c:varyColors val="0"/>
        <c:ser>
          <c:idx val="1"/>
          <c:order val="1"/>
          <c:tx>
            <c:strRef>
              <c:f>'Number of children'!$A$3</c:f>
              <c:strCache>
                <c:ptCount val="1"/>
                <c:pt idx="0">
                  <c:v>no. of children associated </c:v>
                </c:pt>
              </c:strCache>
            </c:strRef>
          </c:tx>
          <c:spPr>
            <a:ln w="28575" cap="rnd">
              <a:solidFill>
                <a:schemeClr val="accent2"/>
              </a:solidFill>
              <a:round/>
            </a:ln>
            <a:effectLst/>
          </c:spPr>
          <c:marker>
            <c:symbol val="none"/>
          </c:marker>
          <c:cat>
            <c:strRef>
              <c:f>'Number of children'!$B$1:$F$1</c:f>
              <c:strCache>
                <c:ptCount val="5"/>
                <c:pt idx="0">
                  <c:v>2018/19</c:v>
                </c:pt>
                <c:pt idx="1">
                  <c:v>2019/20</c:v>
                </c:pt>
                <c:pt idx="2">
                  <c:v>2020/21</c:v>
                </c:pt>
                <c:pt idx="3">
                  <c:v>2021/22</c:v>
                </c:pt>
                <c:pt idx="4">
                  <c:v>2022/23</c:v>
                </c:pt>
              </c:strCache>
            </c:strRef>
          </c:cat>
          <c:val>
            <c:numRef>
              <c:f>'Number of children'!$B$3:$F$3</c:f>
              <c:numCache>
                <c:formatCode>#,##0</c:formatCode>
                <c:ptCount val="5"/>
                <c:pt idx="0">
                  <c:v>32</c:v>
                </c:pt>
                <c:pt idx="1">
                  <c:v>65</c:v>
                </c:pt>
                <c:pt idx="2">
                  <c:v>85</c:v>
                </c:pt>
                <c:pt idx="3">
                  <c:v>116</c:v>
                </c:pt>
                <c:pt idx="4">
                  <c:v>143</c:v>
                </c:pt>
              </c:numCache>
            </c:numRef>
          </c:val>
          <c:smooth val="0"/>
          <c:extLst>
            <c:ext xmlns:c16="http://schemas.microsoft.com/office/drawing/2014/chart" uri="{C3380CC4-5D6E-409C-BE32-E72D297353CC}">
              <c16:uniqueId val="{00000001-1BAB-4E38-A162-5C070CC7D752}"/>
            </c:ext>
          </c:extLst>
        </c:ser>
        <c:ser>
          <c:idx val="0"/>
          <c:order val="0"/>
          <c:tx>
            <c:strRef>
              <c:f>'Number of children'!$A$2</c:f>
              <c:strCache>
                <c:ptCount val="1"/>
                <c:pt idx="0">
                  <c:v>no. adults associated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'Number of children'!$B$1:$F$1</c:f>
              <c:strCache>
                <c:ptCount val="5"/>
                <c:pt idx="0">
                  <c:v>2018/19</c:v>
                </c:pt>
                <c:pt idx="1">
                  <c:v>2019/20</c:v>
                </c:pt>
                <c:pt idx="2">
                  <c:v>2020/21</c:v>
                </c:pt>
                <c:pt idx="3">
                  <c:v>2021/22</c:v>
                </c:pt>
                <c:pt idx="4">
                  <c:v>2022/23</c:v>
                </c:pt>
              </c:strCache>
            </c:strRef>
          </c:cat>
          <c:val>
            <c:numRef>
              <c:f>'Number of children'!$B$2:$F$2</c:f>
            </c:numRef>
          </c:val>
          <c:smooth val="0"/>
          <c:extLst>
            <c:ext xmlns:c16="http://schemas.microsoft.com/office/drawing/2014/chart" uri="{C3380CC4-5D6E-409C-BE32-E72D297353CC}">
              <c16:uniqueId val="{00000002-1BAB-4E38-A162-5C070CC7D752}"/>
            </c:ext>
          </c:extLst>
        </c:ser>
        <c:dLbls>
          <c:showLegendKey val="0"/>
          <c:showVal val="0"/>
          <c:showCatName val="0"/>
          <c:showSerName val="0"/>
          <c:showPercent val="0"/>
          <c:showBubbleSize val="0"/>
        </c:dLbls>
        <c:marker val="1"/>
        <c:smooth val="0"/>
        <c:axId val="510717240"/>
        <c:axId val="510717568"/>
      </c:lineChart>
      <c:catAx>
        <c:axId val="51071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717568"/>
        <c:crosses val="autoZero"/>
        <c:auto val="1"/>
        <c:lblAlgn val="ctr"/>
        <c:lblOffset val="100"/>
        <c:noMultiLvlLbl val="0"/>
      </c:catAx>
      <c:valAx>
        <c:axId val="510717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717240"/>
        <c:crosses val="autoZero"/>
        <c:crossBetween val="between"/>
      </c:valAx>
      <c:spPr>
        <a:noFill/>
        <a:ln>
          <a:noFill/>
        </a:ln>
        <a:effectLst/>
      </c:spPr>
    </c:plotArea>
    <c:legend>
      <c:legendPos val="b"/>
      <c:layout>
        <c:manualLayout>
          <c:xMode val="edge"/>
          <c:yMode val="edge"/>
          <c:x val="0.12855335507304011"/>
          <c:y val="0.92132812069819947"/>
          <c:w val="0.72134425621039799"/>
          <c:h val="7.86718793018005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Outcomes!$B$13</c:f>
              <c:strCache>
                <c:ptCount val="1"/>
                <c:pt idx="0">
                  <c:v>2018/19</c:v>
                </c:pt>
              </c:strCache>
            </c:strRef>
          </c:tx>
          <c:spPr>
            <a:solidFill>
              <a:schemeClr val="accent1"/>
            </a:solidFill>
            <a:ln>
              <a:noFill/>
            </a:ln>
            <a:effectLst/>
          </c:spPr>
          <c:invertIfNegative val="0"/>
          <c:cat>
            <c:strRef>
              <c:f>Outcomes!$A$14:$A$20</c:f>
              <c:strCache>
                <c:ptCount val="7"/>
                <c:pt idx="0">
                  <c:v>Scottish Secure Tenancy</c:v>
                </c:pt>
                <c:pt idx="1">
                  <c:v>Returned to previous/ friends/ vol org.</c:v>
                </c:pt>
                <c:pt idx="2">
                  <c:v>Other - Known</c:v>
                </c:pt>
                <c:pt idx="3">
                  <c:v>Private Rented Tenancy</c:v>
                </c:pt>
                <c:pt idx="4">
                  <c:v>Hostel</c:v>
                </c:pt>
                <c:pt idx="5">
                  <c:v>Other - Not Known</c:v>
                </c:pt>
                <c:pt idx="6">
                  <c:v>Residential care/nursing home/shared supported</c:v>
                </c:pt>
              </c:strCache>
              <c:extLst/>
            </c:strRef>
          </c:cat>
          <c:val>
            <c:numRef>
              <c:f>Outcomes!$B$14:$B$20</c:f>
              <c:numCache>
                <c:formatCode>0%</c:formatCode>
                <c:ptCount val="7"/>
                <c:pt idx="0">
                  <c:v>0.69784172661870503</c:v>
                </c:pt>
                <c:pt idx="1">
                  <c:v>7.9136690647482008E-2</c:v>
                </c:pt>
                <c:pt idx="2">
                  <c:v>7.1942446043165464E-2</c:v>
                </c:pt>
                <c:pt idx="3">
                  <c:v>7.1942446043165464E-2</c:v>
                </c:pt>
                <c:pt idx="4">
                  <c:v>7.1942446043165471E-3</c:v>
                </c:pt>
                <c:pt idx="5">
                  <c:v>7.1942446043165464E-2</c:v>
                </c:pt>
                <c:pt idx="6">
                  <c:v>0</c:v>
                </c:pt>
              </c:numCache>
              <c:extLst/>
            </c:numRef>
          </c:val>
          <c:extLst>
            <c:ext xmlns:c16="http://schemas.microsoft.com/office/drawing/2014/chart" uri="{C3380CC4-5D6E-409C-BE32-E72D297353CC}">
              <c16:uniqueId val="{00000000-65A8-4011-B020-EC96FB4F9538}"/>
            </c:ext>
          </c:extLst>
        </c:ser>
        <c:ser>
          <c:idx val="1"/>
          <c:order val="1"/>
          <c:tx>
            <c:strRef>
              <c:f>Outcomes!$C$13</c:f>
              <c:strCache>
                <c:ptCount val="1"/>
                <c:pt idx="0">
                  <c:v>2019/20</c:v>
                </c:pt>
              </c:strCache>
            </c:strRef>
          </c:tx>
          <c:spPr>
            <a:solidFill>
              <a:schemeClr val="accent2"/>
            </a:solidFill>
            <a:ln>
              <a:noFill/>
            </a:ln>
            <a:effectLst/>
          </c:spPr>
          <c:invertIfNegative val="0"/>
          <c:cat>
            <c:strRef>
              <c:f>Outcomes!$A$14:$A$20</c:f>
              <c:strCache>
                <c:ptCount val="7"/>
                <c:pt idx="0">
                  <c:v>Scottish Secure Tenancy</c:v>
                </c:pt>
                <c:pt idx="1">
                  <c:v>Returned to previous/ friends/ vol org.</c:v>
                </c:pt>
                <c:pt idx="2">
                  <c:v>Other - Known</c:v>
                </c:pt>
                <c:pt idx="3">
                  <c:v>Private Rented Tenancy</c:v>
                </c:pt>
                <c:pt idx="4">
                  <c:v>Hostel</c:v>
                </c:pt>
                <c:pt idx="5">
                  <c:v>Other - Not Known</c:v>
                </c:pt>
                <c:pt idx="6">
                  <c:v>Residential care/nursing home/shared supported</c:v>
                </c:pt>
              </c:strCache>
              <c:extLst/>
            </c:strRef>
          </c:cat>
          <c:val>
            <c:numRef>
              <c:f>Outcomes!$C$14:$C$20</c:f>
              <c:numCache>
                <c:formatCode>0%</c:formatCode>
                <c:ptCount val="7"/>
                <c:pt idx="0">
                  <c:v>0.73043478260869565</c:v>
                </c:pt>
                <c:pt idx="1">
                  <c:v>4.3478260869565216E-2</c:v>
                </c:pt>
                <c:pt idx="2">
                  <c:v>0.12173913043478261</c:v>
                </c:pt>
                <c:pt idx="3">
                  <c:v>7.8260869565217397E-2</c:v>
                </c:pt>
                <c:pt idx="4">
                  <c:v>0</c:v>
                </c:pt>
                <c:pt idx="5">
                  <c:v>2.6086956521739129E-2</c:v>
                </c:pt>
                <c:pt idx="6">
                  <c:v>0</c:v>
                </c:pt>
              </c:numCache>
              <c:extLst/>
            </c:numRef>
          </c:val>
          <c:extLst>
            <c:ext xmlns:c16="http://schemas.microsoft.com/office/drawing/2014/chart" uri="{C3380CC4-5D6E-409C-BE32-E72D297353CC}">
              <c16:uniqueId val="{00000001-65A8-4011-B020-EC96FB4F9538}"/>
            </c:ext>
          </c:extLst>
        </c:ser>
        <c:ser>
          <c:idx val="2"/>
          <c:order val="2"/>
          <c:tx>
            <c:strRef>
              <c:f>Outcomes!$D$13</c:f>
              <c:strCache>
                <c:ptCount val="1"/>
                <c:pt idx="0">
                  <c:v>2020/21</c:v>
                </c:pt>
              </c:strCache>
            </c:strRef>
          </c:tx>
          <c:spPr>
            <a:solidFill>
              <a:schemeClr val="accent3"/>
            </a:solidFill>
            <a:ln>
              <a:noFill/>
            </a:ln>
            <a:effectLst/>
          </c:spPr>
          <c:invertIfNegative val="0"/>
          <c:cat>
            <c:strRef>
              <c:f>Outcomes!$A$14:$A$20</c:f>
              <c:strCache>
                <c:ptCount val="7"/>
                <c:pt idx="0">
                  <c:v>Scottish Secure Tenancy</c:v>
                </c:pt>
                <c:pt idx="1">
                  <c:v>Returned to previous/ friends/ vol org.</c:v>
                </c:pt>
                <c:pt idx="2">
                  <c:v>Other - Known</c:v>
                </c:pt>
                <c:pt idx="3">
                  <c:v>Private Rented Tenancy</c:v>
                </c:pt>
                <c:pt idx="4">
                  <c:v>Hostel</c:v>
                </c:pt>
                <c:pt idx="5">
                  <c:v>Other - Not Known</c:v>
                </c:pt>
                <c:pt idx="6">
                  <c:v>Residential care/nursing home/shared supported</c:v>
                </c:pt>
              </c:strCache>
              <c:extLst/>
            </c:strRef>
          </c:cat>
          <c:val>
            <c:numRef>
              <c:f>Outcomes!$D$14:$D$20</c:f>
              <c:numCache>
                <c:formatCode>0%</c:formatCode>
                <c:ptCount val="7"/>
                <c:pt idx="0">
                  <c:v>0.63461538461538458</c:v>
                </c:pt>
                <c:pt idx="1">
                  <c:v>0.10897435897435898</c:v>
                </c:pt>
                <c:pt idx="2">
                  <c:v>0.13461538461538461</c:v>
                </c:pt>
                <c:pt idx="3">
                  <c:v>0.10897435897435898</c:v>
                </c:pt>
                <c:pt idx="4">
                  <c:v>0</c:v>
                </c:pt>
                <c:pt idx="5">
                  <c:v>6.41025641025641E-3</c:v>
                </c:pt>
                <c:pt idx="6">
                  <c:v>6.41025641025641E-3</c:v>
                </c:pt>
              </c:numCache>
              <c:extLst/>
            </c:numRef>
          </c:val>
          <c:extLst>
            <c:ext xmlns:c16="http://schemas.microsoft.com/office/drawing/2014/chart" uri="{C3380CC4-5D6E-409C-BE32-E72D297353CC}">
              <c16:uniqueId val="{00000002-65A8-4011-B020-EC96FB4F9538}"/>
            </c:ext>
          </c:extLst>
        </c:ser>
        <c:ser>
          <c:idx val="3"/>
          <c:order val="3"/>
          <c:tx>
            <c:strRef>
              <c:f>Outcomes!$E$13</c:f>
              <c:strCache>
                <c:ptCount val="1"/>
                <c:pt idx="0">
                  <c:v>2021/22</c:v>
                </c:pt>
              </c:strCache>
            </c:strRef>
          </c:tx>
          <c:spPr>
            <a:solidFill>
              <a:schemeClr val="accent4"/>
            </a:solidFill>
            <a:ln>
              <a:noFill/>
            </a:ln>
            <a:effectLst/>
          </c:spPr>
          <c:invertIfNegative val="0"/>
          <c:cat>
            <c:strRef>
              <c:f>Outcomes!$A$14:$A$20</c:f>
              <c:strCache>
                <c:ptCount val="7"/>
                <c:pt idx="0">
                  <c:v>Scottish Secure Tenancy</c:v>
                </c:pt>
                <c:pt idx="1">
                  <c:v>Returned to previous/ friends/ vol org.</c:v>
                </c:pt>
                <c:pt idx="2">
                  <c:v>Other - Known</c:v>
                </c:pt>
                <c:pt idx="3">
                  <c:v>Private Rented Tenancy</c:v>
                </c:pt>
                <c:pt idx="4">
                  <c:v>Hostel</c:v>
                </c:pt>
                <c:pt idx="5">
                  <c:v>Other - Not Known</c:v>
                </c:pt>
                <c:pt idx="6">
                  <c:v>Residential care/nursing home/shared supported</c:v>
                </c:pt>
              </c:strCache>
              <c:extLst/>
            </c:strRef>
          </c:cat>
          <c:val>
            <c:numRef>
              <c:f>Outcomes!$E$14:$E$20</c:f>
              <c:numCache>
                <c:formatCode>0%</c:formatCode>
                <c:ptCount val="7"/>
                <c:pt idx="0">
                  <c:v>0.80478087649402386</c:v>
                </c:pt>
                <c:pt idx="1">
                  <c:v>7.9681274900398405E-2</c:v>
                </c:pt>
                <c:pt idx="2">
                  <c:v>5.9760956175298807E-2</c:v>
                </c:pt>
                <c:pt idx="3">
                  <c:v>2.7888446215139442E-2</c:v>
                </c:pt>
                <c:pt idx="4">
                  <c:v>3.9840637450199202E-3</c:v>
                </c:pt>
                <c:pt idx="5">
                  <c:v>1.9920318725099601E-2</c:v>
                </c:pt>
                <c:pt idx="6">
                  <c:v>0</c:v>
                </c:pt>
              </c:numCache>
              <c:extLst/>
            </c:numRef>
          </c:val>
          <c:extLst>
            <c:ext xmlns:c16="http://schemas.microsoft.com/office/drawing/2014/chart" uri="{C3380CC4-5D6E-409C-BE32-E72D297353CC}">
              <c16:uniqueId val="{00000003-65A8-4011-B020-EC96FB4F9538}"/>
            </c:ext>
          </c:extLst>
        </c:ser>
        <c:ser>
          <c:idx val="4"/>
          <c:order val="4"/>
          <c:tx>
            <c:strRef>
              <c:f>Outcomes!$F$13</c:f>
              <c:strCache>
                <c:ptCount val="1"/>
                <c:pt idx="0">
                  <c:v>2022/23</c:v>
                </c:pt>
              </c:strCache>
            </c:strRef>
          </c:tx>
          <c:spPr>
            <a:solidFill>
              <a:schemeClr val="accent5"/>
            </a:solidFill>
            <a:ln>
              <a:noFill/>
            </a:ln>
            <a:effectLst/>
          </c:spPr>
          <c:invertIfNegative val="0"/>
          <c:cat>
            <c:strRef>
              <c:f>Outcomes!$A$14:$A$20</c:f>
              <c:strCache>
                <c:ptCount val="7"/>
                <c:pt idx="0">
                  <c:v>Scottish Secure Tenancy</c:v>
                </c:pt>
                <c:pt idx="1">
                  <c:v>Returned to previous/ friends/ vol org.</c:v>
                </c:pt>
                <c:pt idx="2">
                  <c:v>Other - Known</c:v>
                </c:pt>
                <c:pt idx="3">
                  <c:v>Private Rented Tenancy</c:v>
                </c:pt>
                <c:pt idx="4">
                  <c:v>Hostel</c:v>
                </c:pt>
                <c:pt idx="5">
                  <c:v>Other - Not Known</c:v>
                </c:pt>
                <c:pt idx="6">
                  <c:v>Residential care/nursing home/shared supported</c:v>
                </c:pt>
              </c:strCache>
              <c:extLst/>
            </c:strRef>
          </c:cat>
          <c:val>
            <c:numRef>
              <c:f>Outcomes!$F$14:$F$20</c:f>
              <c:numCache>
                <c:formatCode>0%</c:formatCode>
                <c:ptCount val="7"/>
                <c:pt idx="0">
                  <c:v>0.68354430379746833</c:v>
                </c:pt>
                <c:pt idx="1">
                  <c:v>0.11814345991561181</c:v>
                </c:pt>
                <c:pt idx="2">
                  <c:v>8.8607594936708861E-2</c:v>
                </c:pt>
                <c:pt idx="3">
                  <c:v>6.3291139240506333E-2</c:v>
                </c:pt>
                <c:pt idx="4">
                  <c:v>3.3755274261603373E-2</c:v>
                </c:pt>
                <c:pt idx="5">
                  <c:v>8.4388185654008432E-3</c:v>
                </c:pt>
                <c:pt idx="6">
                  <c:v>4.2194092827004216E-3</c:v>
                </c:pt>
              </c:numCache>
              <c:extLst/>
            </c:numRef>
          </c:val>
          <c:extLst>
            <c:ext xmlns:c16="http://schemas.microsoft.com/office/drawing/2014/chart" uri="{C3380CC4-5D6E-409C-BE32-E72D297353CC}">
              <c16:uniqueId val="{00000004-65A8-4011-B020-EC96FB4F9538}"/>
            </c:ext>
          </c:extLst>
        </c:ser>
        <c:dLbls>
          <c:showLegendKey val="0"/>
          <c:showVal val="0"/>
          <c:showCatName val="0"/>
          <c:showSerName val="0"/>
          <c:showPercent val="0"/>
          <c:showBubbleSize val="0"/>
        </c:dLbls>
        <c:gapWidth val="182"/>
        <c:axId val="822449472"/>
        <c:axId val="822450128"/>
      </c:barChart>
      <c:catAx>
        <c:axId val="822449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450128"/>
        <c:crosses val="autoZero"/>
        <c:auto val="1"/>
        <c:lblAlgn val="ctr"/>
        <c:lblOffset val="100"/>
        <c:noMultiLvlLbl val="0"/>
      </c:catAx>
      <c:valAx>
        <c:axId val="82245012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44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Staff</a:t>
            </a:r>
            <a:r>
              <a:rPr lang="en-GB" b="1" baseline="0"/>
              <a:t> Morale Survey - Outcome 2023</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7"/>
          <c:order val="7"/>
          <c:spPr>
            <a:ln w="28575" cap="rnd">
              <a:solidFill>
                <a:schemeClr val="accent2">
                  <a:lumMod val="60000"/>
                </a:schemeClr>
              </a:solidFill>
              <a:round/>
            </a:ln>
            <a:effectLst/>
          </c:spPr>
          <c:marker>
            <c:symbol val="none"/>
          </c:marker>
          <c:cat>
            <c:multiLvlStrRef>
              <c:f>'Assessment Tools'!$A$37:$B$52</c:f>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'Assessment Tools'!$J$37:$J$52</c:f>
              <c:numCache>
                <c:formatCode>0.0</c:formatCode>
                <c:ptCount val="16"/>
                <c:pt idx="0">
                  <c:v>4.1538461538461542</c:v>
                </c:pt>
                <c:pt idx="1">
                  <c:v>3.7692307692307692</c:v>
                </c:pt>
                <c:pt idx="2">
                  <c:v>3.0769230769230771</c:v>
                </c:pt>
                <c:pt idx="3">
                  <c:v>8.384615384615385</c:v>
                </c:pt>
                <c:pt idx="4">
                  <c:v>5.0769230769230766</c:v>
                </c:pt>
                <c:pt idx="5">
                  <c:v>6.8461538461538458</c:v>
                </c:pt>
                <c:pt idx="6">
                  <c:v>6.3076923076923075</c:v>
                </c:pt>
                <c:pt idx="7">
                  <c:v>7.615384615384615</c:v>
                </c:pt>
                <c:pt idx="8">
                  <c:v>8</c:v>
                </c:pt>
                <c:pt idx="9">
                  <c:v>6.5384615384615383</c:v>
                </c:pt>
                <c:pt idx="10">
                  <c:v>5.7692307692307692</c:v>
                </c:pt>
                <c:pt idx="11">
                  <c:v>3.9230769230769229</c:v>
                </c:pt>
                <c:pt idx="12">
                  <c:v>6.0769230769230766</c:v>
                </c:pt>
                <c:pt idx="13">
                  <c:v>6.6923076923076925</c:v>
                </c:pt>
                <c:pt idx="14">
                  <c:v>6.5384615384615383</c:v>
                </c:pt>
                <c:pt idx="15">
                  <c:v>6.4615384615384617</c:v>
                </c:pt>
              </c:numCache>
            </c:numRef>
          </c:val>
          <c:extLst>
            <c:ext xmlns:c16="http://schemas.microsoft.com/office/drawing/2014/chart" uri="{C3380CC4-5D6E-409C-BE32-E72D297353CC}">
              <c16:uniqueId val="{00000000-5E41-4AE6-9BA0-1FF32D1BE2D8}"/>
            </c:ext>
          </c:extLst>
        </c:ser>
        <c:dLbls>
          <c:showLegendKey val="0"/>
          <c:showVal val="0"/>
          <c:showCatName val="0"/>
          <c:showSerName val="0"/>
          <c:showPercent val="0"/>
          <c:showBubbleSize val="0"/>
        </c:dLbls>
        <c:axId val="538897584"/>
        <c:axId val="539014008"/>
        <c:extLst>
          <c:ext xmlns:c15="http://schemas.microsoft.com/office/drawing/2012/chart" uri="{02D57815-91ED-43cb-92C2-25804820EDAC}">
            <c15:filteredRadarSeries>
              <c15:ser>
                <c:idx val="0"/>
                <c:order val="0"/>
                <c:spPr>
                  <a:ln w="28575" cap="rnd">
                    <a:solidFill>
                      <a:schemeClr val="accent1"/>
                    </a:solidFill>
                    <a:round/>
                  </a:ln>
                  <a:effectLst/>
                </c:spPr>
                <c:marker>
                  <c:symbol val="none"/>
                </c:marker>
                <c:cat>
                  <c:multiLvlStrRef>
                    <c:extLst>
                      <c:ex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c:ext uri="{02D57815-91ED-43cb-92C2-25804820EDAC}">
                        <c15:formulaRef>
                          <c15:sqref>'Assessment Tools'!$C$37:$C$52</c15:sqref>
                        </c15:formulaRef>
                      </c:ext>
                    </c:extLst>
                    <c:numCache>
                      <c:formatCode>General</c:formatCode>
                      <c:ptCount val="16"/>
                    </c:numCache>
                  </c:numRef>
                </c:val>
                <c:extLst>
                  <c:ext xmlns:c16="http://schemas.microsoft.com/office/drawing/2014/chart" uri="{C3380CC4-5D6E-409C-BE32-E72D297353CC}">
                    <c16:uniqueId val="{00000001-5E41-4AE6-9BA0-1FF32D1BE2D8}"/>
                  </c:ext>
                </c:extLst>
              </c15:ser>
            </c15:filteredRadarSeries>
            <c15:filteredRadarSeries>
              <c15:ser>
                <c:idx val="1"/>
                <c:order val="1"/>
                <c:spPr>
                  <a:ln w="28575" cap="rnd">
                    <a:solidFill>
                      <a:schemeClr val="accent2"/>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Tools'!$D$37:$D$52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2-5E41-4AE6-9BA0-1FF32D1BE2D8}"/>
                  </c:ext>
                </c:extLst>
              </c15:ser>
            </c15:filteredRadarSeries>
            <c15:filteredRadarSeries>
              <c15:ser>
                <c:idx val="2"/>
                <c:order val="2"/>
                <c:spPr>
                  <a:ln w="28575" cap="rnd">
                    <a:solidFill>
                      <a:schemeClr val="accent3"/>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Tools'!$E$37:$E$52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3-5E41-4AE6-9BA0-1FF32D1BE2D8}"/>
                  </c:ext>
                </c:extLst>
              </c15:ser>
            </c15:filteredRadarSeries>
            <c15:filteredRadarSeries>
              <c15:ser>
                <c:idx val="3"/>
                <c:order val="3"/>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Tools'!$F$37:$F$52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4-5E41-4AE6-9BA0-1FF32D1BE2D8}"/>
                  </c:ext>
                </c:extLst>
              </c15:ser>
            </c15:filteredRadarSeries>
            <c15:filteredRadarSeries>
              <c15:ser>
                <c:idx val="4"/>
                <c:order val="4"/>
                <c:spPr>
                  <a:ln w="28575" cap="rnd">
                    <a:solidFill>
                      <a:schemeClr val="accent5"/>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Tools'!$G$37:$G$52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5-5E41-4AE6-9BA0-1FF32D1BE2D8}"/>
                  </c:ext>
                </c:extLst>
              </c15:ser>
            </c15:filteredRadarSeries>
            <c15:filteredRadarSeries>
              <c15:ser>
                <c:idx val="5"/>
                <c:order val="5"/>
                <c:spPr>
                  <a:ln w="28575" cap="rnd">
                    <a:solidFill>
                      <a:schemeClr val="accent6"/>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Tools'!$H$37:$H$52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6-5E41-4AE6-9BA0-1FF32D1BE2D8}"/>
                  </c:ext>
                </c:extLst>
              </c15:ser>
            </c15:filteredRadarSeries>
            <c15:filteredRadarSeries>
              <c15:ser>
                <c:idx val="6"/>
                <c:order val="6"/>
                <c:spPr>
                  <a:ln w="28575" cap="rnd">
                    <a:solidFill>
                      <a:schemeClr val="accent1">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'Assessment Tools'!$A$37:$B$52</c15:sqref>
                        </c15:formulaRef>
                      </c:ext>
                    </c:extLst>
                    <c:multiLvlStrCache>
                      <c:ptCount val="16"/>
                      <c:lvl>
                        <c:pt idx="0">
                          <c:v>Recommendation</c:v>
                        </c:pt>
                        <c:pt idx="1">
                          <c:v>Personal morale</c:v>
                        </c:pt>
                        <c:pt idx="2">
                          <c:v>Service morale</c:v>
                        </c:pt>
                        <c:pt idx="3">
                          <c:v>Peer relationship</c:v>
                        </c:pt>
                        <c:pt idx="4">
                          <c:v>Service relationship</c:v>
                        </c:pt>
                        <c:pt idx="5">
                          <c:v>Management Relationship</c:v>
                        </c:pt>
                        <c:pt idx="6">
                          <c:v>Mangement Recognition</c:v>
                        </c:pt>
                        <c:pt idx="7">
                          <c:v>Peer Appreciation</c:v>
                        </c:pt>
                        <c:pt idx="8">
                          <c:v>Peer respect</c:v>
                        </c:pt>
                        <c:pt idx="9">
                          <c:v>Client respect</c:v>
                        </c:pt>
                        <c:pt idx="10">
                          <c:v>Job Security</c:v>
                        </c:pt>
                        <c:pt idx="11">
                          <c:v>Stress</c:v>
                        </c:pt>
                        <c:pt idx="12">
                          <c:v>Coping</c:v>
                        </c:pt>
                        <c:pt idx="13">
                          <c:v>Value</c:v>
                        </c:pt>
                        <c:pt idx="14">
                          <c:v>Place</c:v>
                        </c:pt>
                        <c:pt idx="15">
                          <c:v>Confidence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extLst xmlns:c15="http://schemas.microsoft.com/office/drawing/2012/chart">
                      <c:ext xmlns:c15="http://schemas.microsoft.com/office/drawing/2012/chart" uri="{02D57815-91ED-43cb-92C2-25804820EDAC}">
                        <c15:formulaRef>
                          <c15:sqref>'Assessment Tools'!$I$37:$I$52</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7-5E41-4AE6-9BA0-1FF32D1BE2D8}"/>
                  </c:ext>
                </c:extLst>
              </c15:ser>
            </c15:filteredRadarSeries>
          </c:ext>
        </c:extLst>
      </c:radarChart>
      <c:catAx>
        <c:axId val="53889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014008"/>
        <c:crosses val="autoZero"/>
        <c:auto val="1"/>
        <c:lblAlgn val="ctr"/>
        <c:lblOffset val="100"/>
        <c:noMultiLvlLbl val="0"/>
      </c:catAx>
      <c:valAx>
        <c:axId val="539014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89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35CF-C8EB-4A90-AFA9-26CF5F48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7350</Words>
  <Characters>41896</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Milloy</dc:creator>
  <cp:keywords/>
  <dc:description/>
  <cp:lastModifiedBy>Lesley Cockburn</cp:lastModifiedBy>
  <cp:revision>2</cp:revision>
  <cp:lastPrinted>2023-05-30T08:29:00Z</cp:lastPrinted>
  <dcterms:created xsi:type="dcterms:W3CDTF">2023-06-08T12:44:00Z</dcterms:created>
  <dcterms:modified xsi:type="dcterms:W3CDTF">2023-06-08T12:44:00Z</dcterms:modified>
</cp:coreProperties>
</file>