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7A9" w:rsidRDefault="00A21020" w:rsidP="00C813A4">
      <w:r w:rsidRPr="003A61FB">
        <w:rPr>
          <w:b/>
          <w:noProof/>
          <w:lang w:eastAsia="en-GB"/>
        </w:rPr>
        <w:drawing>
          <wp:inline distT="0" distB="0" distL="0" distR="0">
            <wp:extent cx="1512000" cy="337500"/>
            <wp:effectExtent l="1905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512000" cy="337500"/>
                    </a:xfrm>
                    <a:prstGeom prst="rect">
                      <a:avLst/>
                    </a:prstGeom>
                    <a:noFill/>
                    <a:ln w="9525">
                      <a:noFill/>
                      <a:miter lim="800000"/>
                      <a:headEnd/>
                      <a:tailEnd/>
                    </a:ln>
                  </pic:spPr>
                </pic:pic>
              </a:graphicData>
            </a:graphic>
          </wp:inline>
        </w:drawing>
      </w:r>
    </w:p>
    <w:p w:rsidR="00EE47A9" w:rsidRDefault="00EE47A9" w:rsidP="00EE47A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A21020" w:rsidRDefault="00A21020" w:rsidP="00D12F15">
            <w:pPr>
              <w:pStyle w:val="Heading3"/>
              <w:rPr>
                <w:sz w:val="28"/>
              </w:rPr>
            </w:pPr>
            <w:r>
              <w:rPr>
                <w:sz w:val="28"/>
              </w:rPr>
              <w:t xml:space="preserve">NON DOMESTIC RATES </w:t>
            </w:r>
          </w:p>
          <w:p w:rsidR="00EE47A9" w:rsidRDefault="00A0754B" w:rsidP="00BF7F0E">
            <w:pPr>
              <w:pStyle w:val="Heading3"/>
              <w:rPr>
                <w:sz w:val="28"/>
              </w:rPr>
            </w:pPr>
            <w:r>
              <w:rPr>
                <w:sz w:val="28"/>
              </w:rPr>
              <w:t>NEW</w:t>
            </w:r>
            <w:r w:rsidR="00163E72">
              <w:rPr>
                <w:sz w:val="28"/>
              </w:rPr>
              <w:t xml:space="preserve"> START REL</w:t>
            </w:r>
            <w:r w:rsidR="00BF7F0E">
              <w:rPr>
                <w:sz w:val="28"/>
              </w:rPr>
              <w:t>IE</w:t>
            </w:r>
            <w:r w:rsidR="00163E72">
              <w:rPr>
                <w:sz w:val="28"/>
              </w:rPr>
              <w:t>F</w:t>
            </w:r>
            <w:r w:rsidR="00EE47A9">
              <w:rPr>
                <w:sz w:val="28"/>
              </w:rPr>
              <w:t xml:space="preserve"> </w:t>
            </w:r>
          </w:p>
        </w:tc>
      </w:tr>
      <w:tr w:rsidR="00EE47A9" w:rsidTr="00A21020">
        <w:tc>
          <w:tcPr>
            <w:tcW w:w="9855" w:type="dxa"/>
          </w:tcPr>
          <w:p w:rsidR="00A21020" w:rsidRDefault="00A21020" w:rsidP="00A21020">
            <w:pPr>
              <w:jc w:val="both"/>
              <w:rPr>
                <w:sz w:val="16"/>
              </w:rPr>
            </w:pPr>
          </w:p>
          <w:p w:rsidR="00163E72" w:rsidRDefault="00EE47A9" w:rsidP="00A21020">
            <w:pPr>
              <w:jc w:val="both"/>
              <w:rPr>
                <w:sz w:val="20"/>
              </w:rPr>
            </w:pPr>
            <w:r>
              <w:rPr>
                <w:sz w:val="20"/>
              </w:rPr>
              <w:t>The Sc</w:t>
            </w:r>
            <w:r w:rsidR="00163E72">
              <w:rPr>
                <w:sz w:val="20"/>
              </w:rPr>
              <w:t xml:space="preserve">ottish Government introduced </w:t>
            </w:r>
            <w:r w:rsidR="00A0754B">
              <w:rPr>
                <w:sz w:val="20"/>
              </w:rPr>
              <w:t>New</w:t>
            </w:r>
            <w:r w:rsidR="00163E72">
              <w:rPr>
                <w:sz w:val="20"/>
              </w:rPr>
              <w:t xml:space="preserve"> Start Relief from 1</w:t>
            </w:r>
            <w:r w:rsidR="00163E72" w:rsidRPr="00163E72">
              <w:rPr>
                <w:sz w:val="20"/>
                <w:vertAlign w:val="superscript"/>
              </w:rPr>
              <w:t>st</w:t>
            </w:r>
            <w:r w:rsidR="00163E72">
              <w:rPr>
                <w:sz w:val="20"/>
              </w:rPr>
              <w:t xml:space="preserve"> April 2013</w:t>
            </w:r>
            <w:r>
              <w:rPr>
                <w:b/>
                <w:bCs/>
                <w:sz w:val="20"/>
              </w:rPr>
              <w:t xml:space="preserve">. </w:t>
            </w:r>
            <w:r>
              <w:rPr>
                <w:sz w:val="20"/>
              </w:rPr>
              <w:t xml:space="preserve"> </w:t>
            </w:r>
          </w:p>
          <w:p w:rsidR="00A0754B" w:rsidRDefault="00A0754B" w:rsidP="00A21020">
            <w:pPr>
              <w:jc w:val="both"/>
              <w:rPr>
                <w:sz w:val="20"/>
              </w:rPr>
            </w:pPr>
          </w:p>
          <w:p w:rsidR="00A0754B" w:rsidRPr="00A0754B" w:rsidRDefault="00A0754B" w:rsidP="00A0754B">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 xml:space="preserve">New Start Relief </w:t>
            </w:r>
            <w:r>
              <w:rPr>
                <w:rFonts w:cs="Arial"/>
                <w:bCs/>
                <w:sz w:val="20"/>
                <w:lang w:eastAsia="en-GB"/>
              </w:rPr>
              <w:t>is offered for newly</w:t>
            </w:r>
            <w:r w:rsidRPr="00A0754B">
              <w:rPr>
                <w:rFonts w:cs="Arial"/>
                <w:bCs/>
                <w:sz w:val="20"/>
                <w:lang w:eastAsia="en-GB"/>
              </w:rPr>
              <w:t xml:space="preserve"> buil</w:t>
            </w:r>
            <w:r>
              <w:rPr>
                <w:rFonts w:cs="Arial"/>
                <w:bCs/>
                <w:sz w:val="20"/>
                <w:lang w:eastAsia="en-GB"/>
              </w:rPr>
              <w:t>t</w:t>
            </w:r>
            <w:r w:rsidRPr="00A0754B">
              <w:rPr>
                <w:rFonts w:cs="Arial"/>
                <w:bCs/>
                <w:sz w:val="20"/>
                <w:lang w:eastAsia="en-GB"/>
              </w:rPr>
              <w:t xml:space="preserve"> properties built in the </w:t>
            </w:r>
            <w:r>
              <w:rPr>
                <w:rFonts w:cs="Arial"/>
                <w:bCs/>
                <w:sz w:val="20"/>
                <w:lang w:eastAsia="en-GB"/>
              </w:rPr>
              <w:t>next</w:t>
            </w:r>
            <w:r w:rsidRPr="00A0754B">
              <w:rPr>
                <w:rFonts w:cs="Arial"/>
                <w:bCs/>
                <w:sz w:val="20"/>
                <w:lang w:eastAsia="en-GB"/>
              </w:rPr>
              <w:t xml:space="preserve"> 3 financial years beginning 1 April 2013. The relief offered is 18 months of up to 100%</w:t>
            </w:r>
            <w:r>
              <w:rPr>
                <w:rFonts w:cs="Arial"/>
                <w:bCs/>
                <w:sz w:val="20"/>
                <w:lang w:eastAsia="en-GB"/>
              </w:rPr>
              <w:t xml:space="preserve"> relief</w:t>
            </w:r>
            <w:r w:rsidRPr="00A0754B">
              <w:rPr>
                <w:rFonts w:cs="Arial"/>
                <w:bCs/>
                <w:sz w:val="20"/>
                <w:lang w:eastAsia="en-GB"/>
              </w:rPr>
              <w:t xml:space="preserve">, which includes the usual 3 month period at 100% offered for all unoccupied property. </w:t>
            </w:r>
          </w:p>
          <w:p w:rsidR="00A0754B" w:rsidRPr="00A0754B" w:rsidRDefault="00A0754B" w:rsidP="00A0754B">
            <w:pPr>
              <w:shd w:val="clear" w:color="auto" w:fill="FFFFFF"/>
              <w:outlineLvl w:val="3"/>
              <w:rPr>
                <w:rFonts w:cs="Arial"/>
                <w:bCs/>
                <w:sz w:val="20"/>
                <w:lang w:eastAsia="en-GB"/>
              </w:rPr>
            </w:pPr>
          </w:p>
          <w:p w:rsidR="00A0754B" w:rsidRPr="00A0754B" w:rsidRDefault="00A0754B" w:rsidP="00A0754B">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After the initial 3 months, if the new build property remains empty, the property can receive either this new relief (if the owner occupier applies) or the usual 10% relief, whichever i</w:t>
            </w:r>
            <w:r>
              <w:rPr>
                <w:rFonts w:cs="Arial"/>
                <w:bCs/>
                <w:sz w:val="20"/>
                <w:lang w:eastAsia="en-GB"/>
              </w:rPr>
              <w:t>s</w:t>
            </w:r>
            <w:r w:rsidRPr="00A0754B">
              <w:rPr>
                <w:rFonts w:cs="Arial"/>
                <w:bCs/>
                <w:sz w:val="20"/>
                <w:lang w:eastAsia="en-GB"/>
              </w:rPr>
              <w:t xml:space="preserve"> greater.</w:t>
            </w:r>
          </w:p>
          <w:p w:rsidR="00A0754B" w:rsidRPr="00A0754B" w:rsidRDefault="00A0754B" w:rsidP="00A0754B">
            <w:pPr>
              <w:shd w:val="clear" w:color="auto" w:fill="FFFFFF"/>
              <w:outlineLvl w:val="3"/>
              <w:rPr>
                <w:rFonts w:cs="Arial"/>
                <w:bCs/>
                <w:sz w:val="20"/>
                <w:lang w:eastAsia="en-GB"/>
              </w:rPr>
            </w:pPr>
          </w:p>
          <w:p w:rsidR="00A0754B" w:rsidRPr="00A0754B" w:rsidRDefault="00A0754B" w:rsidP="00A0754B">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There is no upper rateable value cap for property, but the relief is capped under State aid de minimis meaning no business can receive more than 200,000 euros over a rolling 3 year period.</w:t>
            </w:r>
          </w:p>
          <w:p w:rsidR="00A0754B" w:rsidRPr="00A0754B" w:rsidRDefault="00A0754B" w:rsidP="00A0754B">
            <w:pPr>
              <w:pStyle w:val="ListParagraph"/>
              <w:shd w:val="clear" w:color="auto" w:fill="FFFFFF"/>
              <w:tabs>
                <w:tab w:val="clear" w:pos="720"/>
                <w:tab w:val="clear" w:pos="1440"/>
                <w:tab w:val="clear" w:pos="2160"/>
                <w:tab w:val="clear" w:pos="2880"/>
                <w:tab w:val="clear" w:pos="4680"/>
                <w:tab w:val="clear" w:pos="5400"/>
                <w:tab w:val="clear" w:pos="9000"/>
              </w:tabs>
              <w:spacing w:line="240" w:lineRule="auto"/>
              <w:ind w:left="360"/>
              <w:jc w:val="left"/>
              <w:outlineLvl w:val="3"/>
              <w:rPr>
                <w:rFonts w:cs="Arial"/>
                <w:bCs/>
                <w:sz w:val="20"/>
                <w:lang w:eastAsia="en-GB"/>
              </w:rPr>
            </w:pPr>
          </w:p>
          <w:p w:rsidR="00A0754B" w:rsidRPr="00A0754B" w:rsidRDefault="00A0754B" w:rsidP="00A0754B">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relief can be applied if the following circumstances are all met for the property.</w:t>
            </w:r>
          </w:p>
          <w:p w:rsidR="00A0754B" w:rsidRPr="00A0754B" w:rsidRDefault="00A0754B" w:rsidP="00A0754B">
            <w:pPr>
              <w:shd w:val="clear" w:color="auto" w:fill="FFFFFF"/>
              <w:outlineLvl w:val="3"/>
              <w:rPr>
                <w:rFonts w:cs="Arial"/>
                <w:bCs/>
                <w:sz w:val="20"/>
                <w:lang w:eastAsia="en-GB"/>
              </w:rPr>
            </w:pPr>
          </w:p>
          <w:p w:rsidR="00A0754B" w:rsidRPr="00A0754B" w:rsidRDefault="00A0754B" w:rsidP="00A0754B">
            <w:pPr>
              <w:pStyle w:val="ListParagraph"/>
              <w:numPr>
                <w:ilvl w:val="0"/>
                <w:numId w:val="5"/>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property is entered onto the valuation roll betwee</w:t>
            </w:r>
            <w:r w:rsidR="00B570D7">
              <w:rPr>
                <w:rFonts w:cs="Arial"/>
                <w:bCs/>
                <w:sz w:val="20"/>
                <w:lang w:eastAsia="en-GB"/>
              </w:rPr>
              <w:t>n 1 April 2013 and 31 March 2018</w:t>
            </w:r>
            <w:r w:rsidRPr="00A0754B">
              <w:rPr>
                <w:rFonts w:cs="Arial"/>
                <w:bCs/>
                <w:sz w:val="20"/>
                <w:lang w:eastAsia="en-GB"/>
              </w:rPr>
              <w:t>.</w:t>
            </w:r>
          </w:p>
          <w:p w:rsidR="00A0754B" w:rsidRPr="00A0754B" w:rsidRDefault="00A0754B" w:rsidP="00A0754B">
            <w:pPr>
              <w:pStyle w:val="ListParagraph"/>
              <w:numPr>
                <w:ilvl w:val="0"/>
                <w:numId w:val="5"/>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property is unoccupied at the time of entry on the valuation roll</w:t>
            </w:r>
          </w:p>
          <w:p w:rsidR="00A0754B" w:rsidRPr="00A0754B" w:rsidRDefault="00A0754B" w:rsidP="00A0754B">
            <w:pPr>
              <w:pStyle w:val="ListParagraph"/>
              <w:numPr>
                <w:ilvl w:val="0"/>
                <w:numId w:val="5"/>
              </w:numPr>
              <w:shd w:val="clear" w:color="auto" w:fill="FFFFFF"/>
              <w:tabs>
                <w:tab w:val="clear" w:pos="720"/>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new entry is not as a result of a combination or division of existing entry on the valuation roll or due to the refurbishment or change of an existing entry on the valuation roll (including conversion of a domestic property or a property previously exempt from rating)</w:t>
            </w:r>
          </w:p>
          <w:p w:rsidR="00EE47A9" w:rsidRPr="00BF7F0E" w:rsidRDefault="00A0754B" w:rsidP="00BF7F0E">
            <w:pPr>
              <w:shd w:val="clear" w:color="auto" w:fill="FFFFFF"/>
              <w:spacing w:before="100" w:beforeAutospacing="1" w:after="240"/>
              <w:rPr>
                <w:rFonts w:cs="Arial"/>
                <w:color w:val="000000"/>
                <w:sz w:val="20"/>
                <w:lang w:eastAsia="en-GB"/>
              </w:rPr>
            </w:pPr>
            <w:r w:rsidRPr="00A0754B">
              <w:rPr>
                <w:rFonts w:cs="Arial"/>
                <w:b/>
                <w:bCs/>
                <w:color w:val="000000"/>
                <w:sz w:val="20"/>
                <w:lang w:eastAsia="en-GB"/>
              </w:rPr>
              <w:t>The rateable value of your property can be found using the "search for a rateable value" facility at - www.saa.gov.u</w:t>
            </w:r>
            <w:r w:rsidR="00BF7F0E">
              <w:rPr>
                <w:rFonts w:cs="Arial"/>
                <w:b/>
                <w:bCs/>
                <w:color w:val="000000"/>
                <w:sz w:val="20"/>
                <w:lang w:eastAsia="en-GB"/>
              </w:rPr>
              <w:t>k</w:t>
            </w:r>
          </w:p>
        </w:tc>
      </w:tr>
    </w:tbl>
    <w:p w:rsidR="00EE47A9" w:rsidRDefault="00EE47A9" w:rsidP="00EE47A9">
      <w:pPr>
        <w:rPr>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A21020">
            <w:pPr>
              <w:pStyle w:val="Heading3"/>
            </w:pPr>
            <w:r>
              <w:t>HOW TO APPLY</w:t>
            </w:r>
          </w:p>
        </w:tc>
      </w:tr>
      <w:tr w:rsidR="00EE47A9" w:rsidTr="00A21020">
        <w:tc>
          <w:tcPr>
            <w:tcW w:w="9855" w:type="dxa"/>
          </w:tcPr>
          <w:p w:rsidR="00EE47A9" w:rsidRDefault="00EE47A9" w:rsidP="00A21020">
            <w:pPr>
              <w:jc w:val="both"/>
              <w:rPr>
                <w:sz w:val="16"/>
              </w:rPr>
            </w:pPr>
          </w:p>
          <w:p w:rsidR="00EE47A9" w:rsidRDefault="00EE47A9" w:rsidP="00A21020">
            <w:pPr>
              <w:jc w:val="both"/>
              <w:rPr>
                <w:sz w:val="20"/>
              </w:rPr>
            </w:pPr>
            <w:r>
              <w:rPr>
                <w:sz w:val="20"/>
              </w:rPr>
              <w:t xml:space="preserve">This application form should be completed by the ratepayer claiming rates relief in terms of this scheme.  The form should be completed in </w:t>
            </w:r>
            <w:r>
              <w:rPr>
                <w:b/>
                <w:bCs/>
                <w:sz w:val="20"/>
              </w:rPr>
              <w:t>BLACK INK.</w:t>
            </w:r>
            <w:r>
              <w:rPr>
                <w:sz w:val="20"/>
              </w:rPr>
              <w:t xml:space="preserve">  All sections of the form should be completed.  Inverclyde Council may request additional information to substantiate information provided and to validate any claim for relief.</w:t>
            </w:r>
          </w:p>
          <w:p w:rsidR="00EE47A9" w:rsidRDefault="00EE47A9" w:rsidP="00A21020">
            <w:pPr>
              <w:jc w:val="both"/>
              <w:rPr>
                <w:sz w:val="16"/>
              </w:rPr>
            </w:pPr>
          </w:p>
          <w:p w:rsidR="00EE47A9" w:rsidRDefault="00EE47A9" w:rsidP="00A21020">
            <w:pPr>
              <w:rPr>
                <w:sz w:val="20"/>
              </w:rPr>
            </w:pPr>
            <w:r>
              <w:rPr>
                <w:sz w:val="20"/>
              </w:rPr>
              <w:t>To qualify, the following conditions must be met:</w:t>
            </w:r>
          </w:p>
          <w:p w:rsidR="00EE47A9" w:rsidRDefault="00EE47A9" w:rsidP="00A21020">
            <w:pPr>
              <w:rPr>
                <w:sz w:val="8"/>
              </w:rPr>
            </w:pPr>
          </w:p>
          <w:p w:rsidR="00A0754B" w:rsidRPr="00A0754B" w:rsidRDefault="00A0754B" w:rsidP="00A0754B">
            <w:pPr>
              <w:pStyle w:val="ListParagraph"/>
              <w:numPr>
                <w:ilvl w:val="0"/>
                <w:numId w:val="2"/>
              </w:numPr>
              <w:shd w:val="clear" w:color="auto" w:fill="FFFFFF"/>
              <w:tabs>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property is entered onto the valuation roll between 1 April 2013 and 31 March 201</w:t>
            </w:r>
            <w:r w:rsidR="00B570D7">
              <w:rPr>
                <w:rFonts w:cs="Arial"/>
                <w:bCs/>
                <w:sz w:val="20"/>
                <w:lang w:eastAsia="en-GB"/>
              </w:rPr>
              <w:t>8</w:t>
            </w:r>
            <w:r w:rsidRPr="00A0754B">
              <w:rPr>
                <w:rFonts w:cs="Arial"/>
                <w:bCs/>
                <w:sz w:val="20"/>
                <w:lang w:eastAsia="en-GB"/>
              </w:rPr>
              <w:t>.</w:t>
            </w:r>
          </w:p>
          <w:p w:rsidR="00A0754B" w:rsidRPr="00A0754B" w:rsidRDefault="00A0754B" w:rsidP="00A0754B">
            <w:pPr>
              <w:pStyle w:val="ListParagraph"/>
              <w:numPr>
                <w:ilvl w:val="0"/>
                <w:numId w:val="2"/>
              </w:numPr>
              <w:shd w:val="clear" w:color="auto" w:fill="FFFFFF"/>
              <w:tabs>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property is unoccupied at the time of entry on the valuation roll</w:t>
            </w:r>
          </w:p>
          <w:p w:rsidR="00A0754B" w:rsidRPr="00A0754B" w:rsidRDefault="00A0754B" w:rsidP="00A0754B">
            <w:pPr>
              <w:pStyle w:val="ListParagraph"/>
              <w:numPr>
                <w:ilvl w:val="0"/>
                <w:numId w:val="2"/>
              </w:numPr>
              <w:shd w:val="clear" w:color="auto" w:fill="FFFFFF"/>
              <w:tabs>
                <w:tab w:val="clear" w:pos="1440"/>
                <w:tab w:val="clear" w:pos="2160"/>
                <w:tab w:val="clear" w:pos="2880"/>
                <w:tab w:val="clear" w:pos="4680"/>
                <w:tab w:val="clear" w:pos="5400"/>
                <w:tab w:val="clear" w:pos="9000"/>
              </w:tabs>
              <w:spacing w:line="240" w:lineRule="auto"/>
              <w:jc w:val="left"/>
              <w:outlineLvl w:val="3"/>
              <w:rPr>
                <w:rFonts w:cs="Arial"/>
                <w:bCs/>
                <w:sz w:val="20"/>
                <w:lang w:eastAsia="en-GB"/>
              </w:rPr>
            </w:pPr>
            <w:r w:rsidRPr="00A0754B">
              <w:rPr>
                <w:rFonts w:cs="Arial"/>
                <w:bCs/>
                <w:sz w:val="20"/>
                <w:lang w:eastAsia="en-GB"/>
              </w:rPr>
              <w:t>The new entry is not as a result of a combination or division of existing entry on the valuation roll or due to the refurbishment or change of an existing entry on the valuation roll (including conversion of a domestic property or a property previously exempt from rating)</w:t>
            </w:r>
          </w:p>
          <w:p w:rsidR="00EE47A9" w:rsidRDefault="00EE47A9" w:rsidP="00AE5DF4">
            <w:pPr>
              <w:ind w:left="720"/>
              <w:rPr>
                <w:sz w:val="8"/>
              </w:rPr>
            </w:pPr>
          </w:p>
        </w:tc>
      </w:tr>
    </w:tbl>
    <w:p w:rsidR="00163E72" w:rsidRDefault="00163E72" w:rsidP="00EE47A9">
      <w:pPr>
        <w:rPr>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A21020">
            <w:pPr>
              <w:pStyle w:val="Heading5"/>
              <w:rPr>
                <w:rFonts w:ascii="Arial" w:hAnsi="Arial" w:cs="Arial"/>
                <w:sz w:val="24"/>
              </w:rPr>
            </w:pPr>
            <w:r>
              <w:rPr>
                <w:rFonts w:ascii="Arial" w:hAnsi="Arial" w:cs="Arial"/>
                <w:sz w:val="24"/>
              </w:rPr>
              <w:t>SECTION 1 – RATEPAYER DETAILS</w:t>
            </w:r>
          </w:p>
        </w:tc>
      </w:tr>
      <w:tr w:rsidR="00EE47A9" w:rsidTr="00A21020">
        <w:tc>
          <w:tcPr>
            <w:tcW w:w="9855" w:type="dxa"/>
          </w:tcPr>
          <w:p w:rsidR="00EE47A9" w:rsidRDefault="00EE47A9" w:rsidP="00A21020"/>
          <w:p w:rsidR="00EE47A9" w:rsidRDefault="00EE47A9" w:rsidP="00A21020">
            <w:pPr>
              <w:rPr>
                <w:sz w:val="20"/>
              </w:rPr>
            </w:pPr>
            <w:r>
              <w:rPr>
                <w:sz w:val="20"/>
              </w:rPr>
              <w:t>Ratepayers Name …………………………………………………..……………………………………………………</w:t>
            </w:r>
          </w:p>
          <w:p w:rsidR="00EE47A9" w:rsidRDefault="00EE47A9" w:rsidP="00A21020"/>
          <w:p w:rsidR="00EE47A9" w:rsidRDefault="00EE47A9" w:rsidP="00A21020">
            <w:pPr>
              <w:rPr>
                <w:sz w:val="20"/>
              </w:rPr>
            </w:pPr>
            <w:r>
              <w:rPr>
                <w:sz w:val="20"/>
              </w:rPr>
              <w:t>Correspondence Address ……………………………………………………...………………………………………..</w:t>
            </w:r>
          </w:p>
          <w:p w:rsidR="00EE47A9" w:rsidRDefault="00EE47A9" w:rsidP="00A21020"/>
          <w:p w:rsidR="00EE47A9" w:rsidRDefault="00EE47A9" w:rsidP="00A21020">
            <w:pPr>
              <w:rPr>
                <w:sz w:val="20"/>
              </w:rPr>
            </w:pPr>
            <w:r>
              <w:rPr>
                <w:sz w:val="20"/>
              </w:rPr>
              <w:t>………………………………………………………………………………………………...…………………………….</w:t>
            </w:r>
          </w:p>
          <w:p w:rsidR="00EE47A9" w:rsidRDefault="00EE47A9" w:rsidP="00A21020">
            <w:pPr>
              <w:rPr>
                <w:sz w:val="8"/>
              </w:rPr>
            </w:pPr>
          </w:p>
        </w:tc>
      </w:tr>
    </w:tbl>
    <w:p w:rsidR="00EE47A9" w:rsidRDefault="00EE47A9" w:rsidP="00EE47A9"/>
    <w:p w:rsidR="00AE5DF4" w:rsidRDefault="00AE5DF4" w:rsidP="00EE47A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A21020">
            <w:pPr>
              <w:pStyle w:val="Heading7"/>
            </w:pPr>
            <w:r>
              <w:t>SECTION 2 – PREMISES FOR WHICH RELIEF IS SOUGHT</w:t>
            </w:r>
          </w:p>
        </w:tc>
      </w:tr>
      <w:tr w:rsidR="00EE47A9" w:rsidTr="00A21020">
        <w:tc>
          <w:tcPr>
            <w:tcW w:w="9855" w:type="dxa"/>
          </w:tcPr>
          <w:p w:rsidR="00EE47A9" w:rsidRDefault="00EE47A9" w:rsidP="00A21020"/>
          <w:p w:rsidR="00EE47A9" w:rsidRDefault="00EE47A9" w:rsidP="00A21020">
            <w:pPr>
              <w:rPr>
                <w:sz w:val="20"/>
              </w:rPr>
            </w:pPr>
            <w:r>
              <w:rPr>
                <w:sz w:val="20"/>
              </w:rPr>
              <w:t xml:space="preserve">Premises </w:t>
            </w:r>
            <w:r w:rsidR="00AE5DF4">
              <w:rPr>
                <w:sz w:val="20"/>
              </w:rPr>
              <w:t>a</w:t>
            </w:r>
            <w:r>
              <w:rPr>
                <w:sz w:val="20"/>
              </w:rPr>
              <w:t>ddress ……………………………………………………………………………………..…………………</w:t>
            </w:r>
          </w:p>
          <w:p w:rsidR="00EE47A9" w:rsidRDefault="00EE47A9" w:rsidP="00A21020"/>
          <w:p w:rsidR="00EE47A9" w:rsidRDefault="00EE47A9" w:rsidP="00A21020">
            <w:pPr>
              <w:rPr>
                <w:sz w:val="20"/>
              </w:rPr>
            </w:pPr>
            <w:r>
              <w:rPr>
                <w:sz w:val="20"/>
              </w:rPr>
              <w:t>………………………………………………………………………………………………………………………..…….</w:t>
            </w:r>
          </w:p>
          <w:p w:rsidR="00EE47A9" w:rsidRDefault="00EE47A9" w:rsidP="00A21020"/>
          <w:p w:rsidR="00EE47A9" w:rsidRDefault="00CF03AE" w:rsidP="00A21020">
            <w:pPr>
              <w:rPr>
                <w:sz w:val="20"/>
              </w:rPr>
            </w:pPr>
            <w:r>
              <w:rPr>
                <w:sz w:val="20"/>
              </w:rPr>
              <w:lastRenderedPageBreak/>
              <w:t>Reference</w:t>
            </w:r>
            <w:r w:rsidR="00EE47A9">
              <w:rPr>
                <w:sz w:val="20"/>
              </w:rPr>
              <w:t xml:space="preserve"> </w:t>
            </w:r>
            <w:r w:rsidR="00AE5DF4">
              <w:rPr>
                <w:sz w:val="20"/>
              </w:rPr>
              <w:t>n</w:t>
            </w:r>
            <w:r w:rsidR="00EE47A9">
              <w:rPr>
                <w:sz w:val="20"/>
              </w:rPr>
              <w:t xml:space="preserve">umber ……………………………..   </w:t>
            </w:r>
          </w:p>
          <w:p w:rsidR="00AE5DF4" w:rsidRDefault="00AE5DF4" w:rsidP="00A21020">
            <w:pPr>
              <w:rPr>
                <w:sz w:val="20"/>
              </w:rPr>
            </w:pPr>
          </w:p>
          <w:p w:rsidR="00AE5DF4" w:rsidRDefault="00AE5DF4" w:rsidP="00AE5DF4">
            <w:r>
              <w:rPr>
                <w:sz w:val="20"/>
              </w:rPr>
              <w:t xml:space="preserve">Rateable value ……………………………………………………………………………………………………………  </w:t>
            </w:r>
          </w:p>
          <w:p w:rsidR="00AE5DF4" w:rsidRDefault="00AE5DF4" w:rsidP="00AE5DF4">
            <w:pPr>
              <w:rPr>
                <w:bCs/>
                <w:sz w:val="20"/>
              </w:rPr>
            </w:pPr>
          </w:p>
          <w:p w:rsidR="00BF7F0E" w:rsidRDefault="00BF7F0E" w:rsidP="00AE5DF4">
            <w:pPr>
              <w:rPr>
                <w:bCs/>
                <w:sz w:val="20"/>
              </w:rPr>
            </w:pPr>
          </w:p>
          <w:p w:rsidR="00AE5DF4" w:rsidRDefault="00AE5DF4" w:rsidP="00AE5DF4">
            <w:pPr>
              <w:rPr>
                <w:bCs/>
                <w:sz w:val="20"/>
              </w:rPr>
            </w:pPr>
            <w:r>
              <w:rPr>
                <w:bCs/>
                <w:sz w:val="20"/>
              </w:rPr>
              <w:t>Date property was entered on the valuation roll: …......................................</w:t>
            </w:r>
          </w:p>
          <w:p w:rsidR="00AE5DF4" w:rsidRDefault="00AE5DF4" w:rsidP="00AE5DF4">
            <w:pPr>
              <w:rPr>
                <w:bCs/>
                <w:sz w:val="20"/>
              </w:rPr>
            </w:pPr>
          </w:p>
          <w:p w:rsidR="00AE5DF4" w:rsidRDefault="00AE5DF4" w:rsidP="00AE5DF4">
            <w:pPr>
              <w:rPr>
                <w:bCs/>
                <w:sz w:val="20"/>
              </w:rPr>
            </w:pPr>
            <w:r>
              <w:rPr>
                <w:bCs/>
                <w:sz w:val="20"/>
              </w:rPr>
              <w:t>Current status of property: ………………………………………………………………………………………………</w:t>
            </w:r>
          </w:p>
          <w:p w:rsidR="00AE5DF4" w:rsidRDefault="00AE5DF4" w:rsidP="00AE5DF4">
            <w:pPr>
              <w:rPr>
                <w:bCs/>
                <w:sz w:val="20"/>
              </w:rPr>
            </w:pPr>
          </w:p>
          <w:p w:rsidR="00AE5DF4" w:rsidRDefault="00AE5DF4" w:rsidP="00AE5DF4">
            <w:pPr>
              <w:rPr>
                <w:bCs/>
                <w:sz w:val="20"/>
              </w:rPr>
            </w:pPr>
            <w:r>
              <w:rPr>
                <w:bCs/>
                <w:sz w:val="20"/>
              </w:rPr>
              <w:t>Has the property previously received any New Start Relief: ……</w:t>
            </w:r>
            <w:r w:rsidR="00BF7F0E">
              <w:rPr>
                <w:bCs/>
                <w:sz w:val="20"/>
              </w:rPr>
              <w:t>YES/NO</w:t>
            </w:r>
          </w:p>
          <w:p w:rsidR="00AE5DF4" w:rsidRDefault="00AE5DF4" w:rsidP="00AE5DF4">
            <w:pPr>
              <w:rPr>
                <w:bCs/>
                <w:sz w:val="20"/>
              </w:rPr>
            </w:pPr>
            <w:r>
              <w:rPr>
                <w:bCs/>
                <w:sz w:val="20"/>
              </w:rPr>
              <w:t>(please supply details if YES, including start and end dates of relief award)</w:t>
            </w:r>
          </w:p>
          <w:p w:rsidR="00AE5DF4" w:rsidRDefault="00AE5DF4" w:rsidP="00A21020">
            <w:pPr>
              <w:rPr>
                <w:sz w:val="20"/>
              </w:rPr>
            </w:pPr>
          </w:p>
          <w:p w:rsidR="00AE5DF4" w:rsidRDefault="00BF7F0E" w:rsidP="00A21020">
            <w:pPr>
              <w:rPr>
                <w:sz w:val="20"/>
              </w:rPr>
            </w:pPr>
            <w:r>
              <w:rPr>
                <w:sz w:val="20"/>
              </w:rPr>
              <w:t>………………………………………………………………………………………………………………………………</w:t>
            </w:r>
          </w:p>
          <w:p w:rsidR="00EE47A9" w:rsidRDefault="00EE47A9" w:rsidP="00A21020">
            <w:pPr>
              <w:rPr>
                <w:sz w:val="8"/>
              </w:rPr>
            </w:pPr>
          </w:p>
        </w:tc>
      </w:tr>
    </w:tbl>
    <w:p w:rsidR="00EE47A9" w:rsidRDefault="00EE47A9" w:rsidP="00EE47A9">
      <w:pPr>
        <w:rPr>
          <w:sz w:val="6"/>
        </w:rPr>
      </w:pPr>
    </w:p>
    <w:p w:rsidR="00C813A4" w:rsidRDefault="00C813A4" w:rsidP="00EE47A9">
      <w:pPr>
        <w:rPr>
          <w:sz w:val="6"/>
        </w:rPr>
      </w:pPr>
    </w:p>
    <w:p w:rsidR="00C813A4" w:rsidRDefault="00C813A4" w:rsidP="00EE47A9">
      <w:pPr>
        <w:rPr>
          <w:sz w:val="6"/>
        </w:rPr>
      </w:pPr>
    </w:p>
    <w:p w:rsidR="00EE47A9" w:rsidRDefault="00EE47A9" w:rsidP="00EE47A9">
      <w:pPr>
        <w:rPr>
          <w:sz w:val="6"/>
        </w:rPr>
      </w:pPr>
    </w:p>
    <w:p w:rsidR="00EE47A9" w:rsidRDefault="00EE47A9" w:rsidP="00EE47A9">
      <w:pPr>
        <w:rPr>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BF7F0E">
            <w:pPr>
              <w:pStyle w:val="Heading7"/>
              <w:rPr>
                <w:bCs/>
              </w:rPr>
            </w:pPr>
            <w:r>
              <w:rPr>
                <w:bCs/>
              </w:rPr>
              <w:t xml:space="preserve">SECTION </w:t>
            </w:r>
            <w:r w:rsidR="00BF7F0E">
              <w:rPr>
                <w:bCs/>
              </w:rPr>
              <w:t>3</w:t>
            </w:r>
            <w:r>
              <w:rPr>
                <w:bCs/>
              </w:rPr>
              <w:t xml:space="preserve"> – OTHER PREMISES OWNED/LEASED </w:t>
            </w:r>
            <w:r w:rsidR="00BF7F0E">
              <w:rPr>
                <w:bCs/>
              </w:rPr>
              <w:t>INSCOTLAND</w:t>
            </w:r>
          </w:p>
        </w:tc>
      </w:tr>
      <w:tr w:rsidR="00EE47A9" w:rsidTr="00A21020">
        <w:tc>
          <w:tcPr>
            <w:tcW w:w="9855" w:type="dxa"/>
          </w:tcPr>
          <w:p w:rsidR="00EE47A9" w:rsidRDefault="00EE47A9" w:rsidP="00A21020">
            <w:pPr>
              <w:rPr>
                <w:bCs/>
                <w:sz w:val="12"/>
              </w:rPr>
            </w:pPr>
          </w:p>
          <w:p w:rsidR="00EE47A9" w:rsidRDefault="00EE47A9" w:rsidP="00A21020">
            <w:pPr>
              <w:rPr>
                <w:rFonts w:ascii="Lucida Sans Unicode" w:hAnsi="Lucida Sans Unicode" w:cs="Lucida Sans Unicode"/>
                <w:bCs/>
                <w:sz w:val="20"/>
              </w:rPr>
            </w:pPr>
            <w:r>
              <w:rPr>
                <w:bCs/>
                <w:sz w:val="20"/>
              </w:rPr>
              <w:t xml:space="preserve">Do you have any other premises </w:t>
            </w:r>
            <w:r w:rsidR="00BF7F0E">
              <w:rPr>
                <w:bCs/>
                <w:sz w:val="20"/>
              </w:rPr>
              <w:t>in Scotland</w:t>
            </w:r>
            <w:r>
              <w:rPr>
                <w:bCs/>
                <w:sz w:val="20"/>
              </w:rPr>
              <w:t xml:space="preserve">?                YES </w:t>
            </w:r>
            <w:r>
              <w:rPr>
                <w:rFonts w:ascii="Lucida Sans Unicode" w:hAnsi="Lucida Sans Unicode" w:cs="Lucida Sans Unicode"/>
                <w:bCs/>
                <w:sz w:val="20"/>
              </w:rPr>
              <w:t>□</w:t>
            </w:r>
            <w:r>
              <w:rPr>
                <w:bCs/>
                <w:sz w:val="20"/>
              </w:rPr>
              <w:t xml:space="preserve">         NO </w:t>
            </w:r>
            <w:r>
              <w:rPr>
                <w:rFonts w:ascii="Lucida Sans Unicode" w:hAnsi="Lucida Sans Unicode" w:cs="Lucida Sans Unicode"/>
                <w:bCs/>
                <w:sz w:val="20"/>
              </w:rPr>
              <w:t>□</w:t>
            </w:r>
          </w:p>
          <w:p w:rsidR="00EE47A9" w:rsidRDefault="00EE47A9" w:rsidP="00A21020">
            <w:pPr>
              <w:rPr>
                <w:bCs/>
                <w:sz w:val="8"/>
              </w:rPr>
            </w:pPr>
          </w:p>
          <w:p w:rsidR="00EE47A9" w:rsidRDefault="00EE47A9" w:rsidP="00A21020">
            <w:pPr>
              <w:rPr>
                <w:bCs/>
                <w:sz w:val="20"/>
              </w:rPr>
            </w:pPr>
            <w:r>
              <w:rPr>
                <w:bCs/>
                <w:sz w:val="20"/>
              </w:rPr>
              <w:t xml:space="preserve">If </w:t>
            </w:r>
            <w:r>
              <w:rPr>
                <w:b/>
                <w:sz w:val="20"/>
              </w:rPr>
              <w:t xml:space="preserve">YES, </w:t>
            </w:r>
            <w:r>
              <w:rPr>
                <w:bCs/>
                <w:sz w:val="20"/>
              </w:rPr>
              <w:t>please provide us with a copy of the most recent rates bill you have for the property/properties.</w:t>
            </w:r>
          </w:p>
          <w:p w:rsidR="00EE47A9" w:rsidRDefault="00EE47A9" w:rsidP="00A21020">
            <w:pPr>
              <w:rPr>
                <w:b/>
                <w:sz w:val="20"/>
              </w:rPr>
            </w:pPr>
          </w:p>
          <w:p w:rsidR="00EE47A9" w:rsidRDefault="00EE47A9" w:rsidP="00A21020">
            <w:pPr>
              <w:rPr>
                <w:bCs/>
                <w:sz w:val="20"/>
              </w:rPr>
            </w:pPr>
            <w:r>
              <w:rPr>
                <w:bCs/>
                <w:sz w:val="20"/>
              </w:rPr>
              <w:t>Premises Address                                                       Rateable Value                   Occupied Yes/No</w:t>
            </w:r>
          </w:p>
          <w:p w:rsidR="00EE47A9" w:rsidRDefault="00EE47A9" w:rsidP="00A21020">
            <w:pPr>
              <w:rPr>
                <w:bCs/>
                <w:sz w:val="20"/>
              </w:rPr>
            </w:pPr>
          </w:p>
          <w:p w:rsidR="00EE47A9" w:rsidRDefault="00EE47A9" w:rsidP="00A21020">
            <w:pPr>
              <w:rPr>
                <w:bCs/>
                <w:sz w:val="20"/>
              </w:rPr>
            </w:pPr>
            <w:r>
              <w:rPr>
                <w:bCs/>
                <w:sz w:val="20"/>
              </w:rPr>
              <w:t>…………………………………………………                 ……………………….          .…………………..</w:t>
            </w:r>
          </w:p>
          <w:p w:rsidR="00EE47A9" w:rsidRDefault="00EE47A9" w:rsidP="00A21020">
            <w:pPr>
              <w:rPr>
                <w:bCs/>
                <w:sz w:val="20"/>
              </w:rPr>
            </w:pPr>
          </w:p>
          <w:p w:rsidR="00EE47A9" w:rsidRDefault="00EE47A9" w:rsidP="00A21020">
            <w:pPr>
              <w:rPr>
                <w:bCs/>
                <w:sz w:val="20"/>
              </w:rPr>
            </w:pPr>
            <w:r>
              <w:rPr>
                <w:bCs/>
                <w:sz w:val="20"/>
              </w:rPr>
              <w:t>…………………………………………………                 ………………………..         .…………………..</w:t>
            </w:r>
          </w:p>
          <w:p w:rsidR="00EE47A9" w:rsidRDefault="00EE47A9" w:rsidP="00A21020">
            <w:pPr>
              <w:rPr>
                <w:sz w:val="8"/>
              </w:rPr>
            </w:pPr>
          </w:p>
        </w:tc>
      </w:tr>
    </w:tbl>
    <w:p w:rsidR="00EE47A9" w:rsidRDefault="00EE47A9" w:rsidP="00EE47A9">
      <w:pPr>
        <w:rPr>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BF7F0E">
            <w:pPr>
              <w:pStyle w:val="Heading7"/>
            </w:pPr>
            <w:r>
              <w:t xml:space="preserve">SECTION </w:t>
            </w:r>
            <w:r w:rsidR="00BF7F0E">
              <w:t>4</w:t>
            </w:r>
            <w:r>
              <w:t xml:space="preserve"> – STATE AID</w:t>
            </w:r>
          </w:p>
        </w:tc>
      </w:tr>
      <w:tr w:rsidR="00EE47A9" w:rsidTr="00A21020">
        <w:tc>
          <w:tcPr>
            <w:tcW w:w="9855" w:type="dxa"/>
          </w:tcPr>
          <w:p w:rsidR="00EE47A9" w:rsidRDefault="00EE47A9" w:rsidP="00A21020">
            <w:pPr>
              <w:rPr>
                <w:bCs/>
                <w:sz w:val="8"/>
              </w:rPr>
            </w:pPr>
          </w:p>
          <w:p w:rsidR="00EE47A9" w:rsidRDefault="00EE47A9" w:rsidP="00A21020">
            <w:pPr>
              <w:rPr>
                <w:bCs/>
                <w:sz w:val="20"/>
              </w:rPr>
            </w:pPr>
            <w:r>
              <w:rPr>
                <w:bCs/>
                <w:sz w:val="20"/>
              </w:rPr>
              <w:t>If your business has received other public sector assistance in excess of 200,000 Euros (</w:t>
            </w:r>
            <w:proofErr w:type="spellStart"/>
            <w:r>
              <w:rPr>
                <w:bCs/>
                <w:sz w:val="20"/>
              </w:rPr>
              <w:t>approx</w:t>
            </w:r>
            <w:proofErr w:type="spellEnd"/>
            <w:r>
              <w:rPr>
                <w:bCs/>
                <w:sz w:val="20"/>
              </w:rPr>
              <w:t xml:space="preserve"> £1</w:t>
            </w:r>
            <w:r w:rsidR="00BF7F0E">
              <w:rPr>
                <w:bCs/>
                <w:sz w:val="20"/>
              </w:rPr>
              <w:t>75</w:t>
            </w:r>
            <w:r>
              <w:rPr>
                <w:bCs/>
                <w:sz w:val="20"/>
              </w:rPr>
              <w:t xml:space="preserve">,000) over a rolling three-year period (the </w:t>
            </w:r>
            <w:r>
              <w:rPr>
                <w:bCs/>
                <w:i/>
                <w:iCs/>
                <w:sz w:val="20"/>
              </w:rPr>
              <w:t xml:space="preserve">de </w:t>
            </w:r>
            <w:proofErr w:type="spellStart"/>
            <w:proofErr w:type="gramStart"/>
            <w:r>
              <w:rPr>
                <w:bCs/>
                <w:i/>
                <w:iCs/>
                <w:sz w:val="20"/>
              </w:rPr>
              <w:t>minimus</w:t>
            </w:r>
            <w:proofErr w:type="spellEnd"/>
            <w:r>
              <w:rPr>
                <w:bCs/>
                <w:i/>
                <w:iCs/>
                <w:sz w:val="20"/>
              </w:rPr>
              <w:t xml:space="preserve"> </w:t>
            </w:r>
            <w:r>
              <w:rPr>
                <w:b/>
                <w:sz w:val="20"/>
              </w:rPr>
              <w:t xml:space="preserve"> </w:t>
            </w:r>
            <w:r>
              <w:rPr>
                <w:bCs/>
                <w:sz w:val="20"/>
              </w:rPr>
              <w:t>limit</w:t>
            </w:r>
            <w:proofErr w:type="gramEnd"/>
            <w:r>
              <w:rPr>
                <w:bCs/>
                <w:sz w:val="20"/>
              </w:rPr>
              <w:t xml:space="preserve"> for State aid), it is possible you may not qualify for relief under the Scheme.  If you consider you have already received in excess of, or close to, this sum over the past three years, please provide details.</w:t>
            </w:r>
          </w:p>
          <w:p w:rsidR="00EE47A9" w:rsidRDefault="00EE47A9" w:rsidP="00A21020">
            <w:r>
              <w:rPr>
                <w:bCs/>
                <w:sz w:val="20"/>
              </w:rPr>
              <w:t>……………………………………………………………………………………………………………………………</w:t>
            </w:r>
          </w:p>
        </w:tc>
      </w:tr>
    </w:tbl>
    <w:p w:rsidR="00EE47A9" w:rsidRDefault="00EE47A9" w:rsidP="00EE47A9">
      <w:pPr>
        <w:rPr>
          <w:sz w:val="1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BF7F0E">
            <w:pPr>
              <w:pStyle w:val="Heading7"/>
            </w:pPr>
            <w:r>
              <w:t xml:space="preserve">SECTION </w:t>
            </w:r>
            <w:r w:rsidR="00BF7F0E">
              <w:t>5</w:t>
            </w:r>
            <w:r>
              <w:t xml:space="preserve"> - DATA PROTECTION STATEMENT</w:t>
            </w:r>
          </w:p>
        </w:tc>
      </w:tr>
      <w:tr w:rsidR="00EE47A9" w:rsidTr="00A21020">
        <w:tc>
          <w:tcPr>
            <w:tcW w:w="9855" w:type="dxa"/>
          </w:tcPr>
          <w:p w:rsidR="00EE47A9" w:rsidRDefault="00EE47A9" w:rsidP="00A21020">
            <w:pPr>
              <w:rPr>
                <w:bCs/>
                <w:sz w:val="8"/>
              </w:rPr>
            </w:pPr>
          </w:p>
          <w:p w:rsidR="00EE47A9" w:rsidRDefault="00EE47A9" w:rsidP="00A21020">
            <w:pPr>
              <w:rPr>
                <w:bCs/>
                <w:sz w:val="20"/>
              </w:rPr>
            </w:pPr>
            <w:r>
              <w:rPr>
                <w:bCs/>
                <w:sz w:val="20"/>
              </w:rPr>
              <w:t xml:space="preserve">The Council collects information for the purposes of administering the </w:t>
            </w:r>
            <w:r w:rsidR="00BF7F0E">
              <w:rPr>
                <w:bCs/>
                <w:sz w:val="20"/>
              </w:rPr>
              <w:t>New Start Relief</w:t>
            </w:r>
            <w:r>
              <w:rPr>
                <w:bCs/>
                <w:sz w:val="20"/>
              </w:rPr>
              <w:t>.  The information we collect will be held on computer and may be used for any purposes the Council has registered under the Data Protection Acts.  We may check information provided by you, or information provided by a third party, with other information held by us.</w:t>
            </w:r>
          </w:p>
          <w:p w:rsidR="00EE47A9" w:rsidRDefault="00EE47A9" w:rsidP="00A21020">
            <w:pPr>
              <w:rPr>
                <w:bCs/>
                <w:sz w:val="8"/>
              </w:rPr>
            </w:pPr>
          </w:p>
          <w:p w:rsidR="00EE47A9" w:rsidRDefault="00EE47A9" w:rsidP="00A21020">
            <w:pPr>
              <w:rPr>
                <w:b/>
                <w:sz w:val="20"/>
              </w:rPr>
            </w:pPr>
            <w:r>
              <w:rPr>
                <w:bCs/>
                <w:sz w:val="20"/>
              </w:rPr>
              <w:t>We may also obtain information about you from certain third parties, or give information to them, to check the accuracy of the information; to prevent or detect crime, or to protect public funds in other ways, as permitted by law.  These third parties include other local authorities or government bodies.</w:t>
            </w:r>
            <w:r>
              <w:rPr>
                <w:b/>
                <w:sz w:val="20"/>
              </w:rPr>
              <w:t xml:space="preserve"> </w:t>
            </w:r>
          </w:p>
          <w:p w:rsidR="00EE47A9" w:rsidRDefault="00EE47A9" w:rsidP="00A21020">
            <w:pPr>
              <w:rPr>
                <w:bCs/>
                <w:sz w:val="8"/>
              </w:rPr>
            </w:pPr>
          </w:p>
          <w:p w:rsidR="00EE47A9" w:rsidRDefault="00EE47A9" w:rsidP="00A21020">
            <w:pPr>
              <w:rPr>
                <w:bCs/>
                <w:sz w:val="20"/>
              </w:rPr>
            </w:pPr>
            <w:r>
              <w:rPr>
                <w:bCs/>
                <w:sz w:val="20"/>
              </w:rPr>
              <w:t>We will not disclose information about you to anyone outside the Council unless the law permits us to do so.</w:t>
            </w:r>
          </w:p>
          <w:p w:rsidR="00EE47A9" w:rsidRDefault="00EE47A9" w:rsidP="00A21020">
            <w:pPr>
              <w:rPr>
                <w:sz w:val="8"/>
              </w:rPr>
            </w:pPr>
          </w:p>
        </w:tc>
      </w:tr>
    </w:tbl>
    <w:p w:rsidR="00EE47A9" w:rsidRDefault="00EE47A9" w:rsidP="00EE47A9">
      <w:pPr>
        <w:rPr>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EE47A9" w:rsidTr="00A21020">
        <w:tc>
          <w:tcPr>
            <w:tcW w:w="9855" w:type="dxa"/>
            <w:shd w:val="clear" w:color="auto" w:fill="C0C0C0"/>
          </w:tcPr>
          <w:p w:rsidR="00EE47A9" w:rsidRDefault="00EE47A9" w:rsidP="00A21020">
            <w:pPr>
              <w:pStyle w:val="Heading3"/>
              <w:rPr>
                <w:sz w:val="4"/>
              </w:rPr>
            </w:pPr>
          </w:p>
          <w:p w:rsidR="00EE47A9" w:rsidRDefault="00EE47A9" w:rsidP="00BF7F0E">
            <w:pPr>
              <w:pStyle w:val="Heading7"/>
              <w:rPr>
                <w:bCs/>
              </w:rPr>
            </w:pPr>
            <w:r>
              <w:rPr>
                <w:bCs/>
              </w:rPr>
              <w:t xml:space="preserve">SECTION </w:t>
            </w:r>
            <w:r w:rsidR="00BF7F0E">
              <w:rPr>
                <w:bCs/>
              </w:rPr>
              <w:t>6</w:t>
            </w:r>
            <w:r>
              <w:rPr>
                <w:bCs/>
              </w:rPr>
              <w:t xml:space="preserve"> – DECLARATION</w:t>
            </w:r>
          </w:p>
        </w:tc>
      </w:tr>
      <w:tr w:rsidR="00EE47A9" w:rsidTr="00A21020">
        <w:tc>
          <w:tcPr>
            <w:tcW w:w="9855" w:type="dxa"/>
          </w:tcPr>
          <w:p w:rsidR="00EE47A9" w:rsidRDefault="00EE47A9" w:rsidP="00A21020">
            <w:pPr>
              <w:rPr>
                <w:bCs/>
                <w:sz w:val="12"/>
              </w:rPr>
            </w:pPr>
          </w:p>
          <w:p w:rsidR="00EE47A9" w:rsidRDefault="00EE47A9" w:rsidP="00A21020">
            <w:pPr>
              <w:rPr>
                <w:bCs/>
                <w:sz w:val="20"/>
              </w:rPr>
            </w:pPr>
            <w:r>
              <w:rPr>
                <w:bCs/>
                <w:sz w:val="20"/>
              </w:rPr>
              <w:t>I/we declare the information I/we have given on this form is correct and complete.</w:t>
            </w:r>
          </w:p>
          <w:p w:rsidR="00EE47A9" w:rsidRDefault="00EE47A9" w:rsidP="00A21020">
            <w:pPr>
              <w:rPr>
                <w:bCs/>
                <w:sz w:val="8"/>
              </w:rPr>
            </w:pPr>
          </w:p>
          <w:p w:rsidR="00EE47A9" w:rsidRDefault="00EE47A9" w:rsidP="00A21020">
            <w:pPr>
              <w:jc w:val="both"/>
              <w:rPr>
                <w:bCs/>
                <w:sz w:val="20"/>
              </w:rPr>
            </w:pPr>
            <w:r>
              <w:rPr>
                <w:bCs/>
                <w:sz w:val="20"/>
              </w:rPr>
              <w:t>I/we have read the Council’s data protection statement given above and understand if I/we give information that is incorrect or incomplete, or fail to report any changes, which might affect my/our Rate Relief, I/we may be prosecuted.</w:t>
            </w:r>
          </w:p>
          <w:p w:rsidR="00EE47A9" w:rsidRDefault="00EE47A9" w:rsidP="00A21020">
            <w:pPr>
              <w:rPr>
                <w:bCs/>
                <w:sz w:val="20"/>
              </w:rPr>
            </w:pPr>
          </w:p>
          <w:p w:rsidR="00EE47A9" w:rsidRDefault="00EE47A9" w:rsidP="00A21020">
            <w:pPr>
              <w:rPr>
                <w:bCs/>
                <w:sz w:val="20"/>
              </w:rPr>
            </w:pPr>
            <w:r>
              <w:rPr>
                <w:b/>
                <w:sz w:val="20"/>
              </w:rPr>
              <w:t>Signature</w:t>
            </w:r>
            <w:r>
              <w:rPr>
                <w:bCs/>
                <w:sz w:val="20"/>
              </w:rPr>
              <w:t>….………………………….…………………………………………</w:t>
            </w:r>
          </w:p>
          <w:p w:rsidR="00EE47A9" w:rsidRDefault="00EE47A9" w:rsidP="00A21020">
            <w:pPr>
              <w:rPr>
                <w:bCs/>
                <w:sz w:val="20"/>
              </w:rPr>
            </w:pPr>
          </w:p>
          <w:tbl>
            <w:tblPr>
              <w:tblpPr w:leftFromText="180" w:rightFromText="180" w:vertAnchor="text" w:horzAnchor="margin" w:tblpXSpec="right" w:tblpY="-4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tblGrid>
            <w:tr w:rsidR="00EE47A9" w:rsidTr="00A21020">
              <w:trPr>
                <w:trHeight w:val="1265"/>
              </w:trPr>
              <w:tc>
                <w:tcPr>
                  <w:tcW w:w="2689" w:type="dxa"/>
                </w:tcPr>
                <w:p w:rsidR="00EE47A9" w:rsidRDefault="00EE47A9" w:rsidP="00A21020">
                  <w:pPr>
                    <w:rPr>
                      <w:bCs/>
                      <w:sz w:val="20"/>
                    </w:rPr>
                  </w:pPr>
                  <w:r>
                    <w:rPr>
                      <w:bCs/>
                      <w:sz w:val="20"/>
                    </w:rPr>
                    <w:t>Company Stamp</w:t>
                  </w:r>
                </w:p>
              </w:tc>
            </w:tr>
          </w:tbl>
          <w:p w:rsidR="00EE47A9" w:rsidRDefault="00EE47A9" w:rsidP="00A21020">
            <w:pPr>
              <w:rPr>
                <w:bCs/>
                <w:sz w:val="20"/>
              </w:rPr>
            </w:pPr>
            <w:r>
              <w:rPr>
                <w:b/>
                <w:sz w:val="20"/>
              </w:rPr>
              <w:t>PRINT NAME</w:t>
            </w:r>
            <w:r>
              <w:rPr>
                <w:bCs/>
                <w:sz w:val="20"/>
              </w:rPr>
              <w:t>….…………………………….………..……….………………..</w:t>
            </w:r>
          </w:p>
          <w:p w:rsidR="00EE47A9" w:rsidRDefault="00EE47A9" w:rsidP="00A21020">
            <w:pPr>
              <w:rPr>
                <w:bCs/>
                <w:sz w:val="20"/>
              </w:rPr>
            </w:pPr>
          </w:p>
          <w:p w:rsidR="00EE47A9" w:rsidRDefault="00EE47A9" w:rsidP="00A21020">
            <w:pPr>
              <w:rPr>
                <w:bCs/>
                <w:sz w:val="20"/>
              </w:rPr>
            </w:pPr>
            <w:r>
              <w:rPr>
                <w:b/>
                <w:sz w:val="20"/>
              </w:rPr>
              <w:t>Date</w:t>
            </w:r>
            <w:r>
              <w:rPr>
                <w:bCs/>
                <w:sz w:val="20"/>
              </w:rPr>
              <w:t>…..……………………………………………….……………………...…</w:t>
            </w:r>
          </w:p>
          <w:p w:rsidR="00EE47A9" w:rsidRDefault="00EE47A9" w:rsidP="00A21020">
            <w:pPr>
              <w:rPr>
                <w:bCs/>
                <w:sz w:val="20"/>
              </w:rPr>
            </w:pPr>
          </w:p>
          <w:p w:rsidR="00EE47A9" w:rsidRDefault="00EE47A9" w:rsidP="00A21020">
            <w:pPr>
              <w:rPr>
                <w:bCs/>
                <w:sz w:val="8"/>
              </w:rPr>
            </w:pPr>
            <w:proofErr w:type="spellStart"/>
            <w:r>
              <w:rPr>
                <w:b/>
                <w:sz w:val="20"/>
              </w:rPr>
              <w:t>Tel.Number</w:t>
            </w:r>
            <w:proofErr w:type="spellEnd"/>
            <w:r>
              <w:rPr>
                <w:bCs/>
                <w:sz w:val="20"/>
              </w:rPr>
              <w:t xml:space="preserve">…….……………………………….….…… </w:t>
            </w:r>
            <w:r>
              <w:rPr>
                <w:b/>
                <w:sz w:val="20"/>
              </w:rPr>
              <w:t>E-mail</w:t>
            </w:r>
            <w:r>
              <w:rPr>
                <w:bCs/>
                <w:sz w:val="20"/>
              </w:rPr>
              <w:t>………………….………………………….…………</w:t>
            </w:r>
          </w:p>
          <w:p w:rsidR="00EE47A9" w:rsidRDefault="00EE47A9" w:rsidP="00A21020">
            <w:pPr>
              <w:rPr>
                <w:sz w:val="8"/>
              </w:rPr>
            </w:pPr>
          </w:p>
        </w:tc>
      </w:tr>
      <w:tr w:rsidR="00EE47A9" w:rsidTr="00A210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9855" w:type="dxa"/>
            <w:tcBorders>
              <w:top w:val="double" w:sz="4" w:space="0" w:color="auto"/>
              <w:left w:val="double" w:sz="4" w:space="0" w:color="auto"/>
              <w:bottom w:val="double" w:sz="4" w:space="0" w:color="auto"/>
              <w:right w:val="double" w:sz="4" w:space="0" w:color="auto"/>
            </w:tcBorders>
          </w:tcPr>
          <w:p w:rsidR="00EE47A9" w:rsidRDefault="00EE47A9" w:rsidP="00A21020">
            <w:pPr>
              <w:pStyle w:val="BodyText3"/>
              <w:rPr>
                <w:sz w:val="16"/>
              </w:rPr>
            </w:pPr>
          </w:p>
          <w:p w:rsidR="00EE47A9" w:rsidRDefault="00EE47A9" w:rsidP="00A21020">
            <w:pPr>
              <w:pStyle w:val="BodyText3"/>
              <w:rPr>
                <w:sz w:val="20"/>
              </w:rPr>
            </w:pPr>
            <w:r>
              <w:rPr>
                <w:sz w:val="20"/>
              </w:rPr>
              <w:t>If you have any questions about this for, or you wish to discuss its contents, please contact us.  We will try to help you, and promise any discussion will be confidential.</w:t>
            </w:r>
          </w:p>
          <w:p w:rsidR="00EE47A9" w:rsidRDefault="00EE47A9" w:rsidP="00A21020">
            <w:pPr>
              <w:pStyle w:val="BodyText3"/>
              <w:rPr>
                <w:sz w:val="12"/>
                <w:szCs w:val="22"/>
              </w:rPr>
            </w:pPr>
          </w:p>
          <w:p w:rsidR="00EE47A9" w:rsidRDefault="00EE47A9" w:rsidP="00A21020">
            <w:pPr>
              <w:pStyle w:val="BodyText3"/>
              <w:rPr>
                <w:szCs w:val="22"/>
              </w:rPr>
            </w:pPr>
            <w:r>
              <w:rPr>
                <w:szCs w:val="22"/>
              </w:rPr>
              <w:lastRenderedPageBreak/>
              <w:t>Inverclyde Council, P O Box 9467, Greenock, PA15 1JD</w:t>
            </w:r>
          </w:p>
          <w:p w:rsidR="00EE47A9" w:rsidRDefault="00EE47A9" w:rsidP="00A21020">
            <w:pPr>
              <w:ind w:left="360"/>
              <w:jc w:val="center"/>
              <w:rPr>
                <w:szCs w:val="22"/>
              </w:rPr>
            </w:pPr>
            <w:r w:rsidRPr="00EE47A9">
              <w:rPr>
                <w:b/>
                <w:sz w:val="22"/>
                <w:szCs w:val="22"/>
              </w:rPr>
              <w:t>Telephone 01475 712270</w:t>
            </w:r>
            <w:r>
              <w:rPr>
                <w:sz w:val="22"/>
                <w:szCs w:val="22"/>
              </w:rPr>
              <w:t xml:space="preserve"> </w:t>
            </w:r>
            <w:r>
              <w:rPr>
                <w:b/>
                <w:sz w:val="22"/>
                <w:szCs w:val="22"/>
              </w:rPr>
              <w:t>Or e-mail:</w:t>
            </w:r>
            <w:r>
              <w:rPr>
                <w:sz w:val="22"/>
                <w:szCs w:val="22"/>
              </w:rPr>
              <w:t xml:space="preserve"> </w:t>
            </w:r>
            <w:hyperlink r:id="rId9" w:history="1">
              <w:r w:rsidRPr="00486EB4">
                <w:rPr>
                  <w:rStyle w:val="Hyperlink"/>
                  <w:sz w:val="22"/>
                  <w:szCs w:val="22"/>
                </w:rPr>
                <w:t>rates@inverclyde.gov.uk</w:t>
              </w:r>
            </w:hyperlink>
          </w:p>
          <w:p w:rsidR="00EE47A9" w:rsidRDefault="00EE47A9" w:rsidP="00A21020">
            <w:pPr>
              <w:ind w:left="360"/>
              <w:jc w:val="center"/>
              <w:rPr>
                <w:sz w:val="8"/>
              </w:rPr>
            </w:pPr>
          </w:p>
        </w:tc>
      </w:tr>
    </w:tbl>
    <w:p w:rsidR="00C615A6" w:rsidRDefault="00C615A6"/>
    <w:sectPr w:rsidR="00C615A6" w:rsidSect="009E4ECC">
      <w:headerReference w:type="even" r:id="rId10"/>
      <w:headerReference w:type="default" r:id="rId11"/>
      <w:headerReference w:type="first" r:id="rId12"/>
      <w:pgSz w:w="11907" w:h="16840"/>
      <w:pgMar w:top="425" w:right="1134" w:bottom="42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96E" w:rsidRDefault="006E296E" w:rsidP="00530C94">
      <w:r>
        <w:separator/>
      </w:r>
    </w:p>
  </w:endnote>
  <w:endnote w:type="continuationSeparator" w:id="0">
    <w:p w:rsidR="006E296E" w:rsidRDefault="006E296E" w:rsidP="0053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96E" w:rsidRDefault="006E296E" w:rsidP="00530C94">
      <w:r>
        <w:separator/>
      </w:r>
    </w:p>
  </w:footnote>
  <w:footnote w:type="continuationSeparator" w:id="0">
    <w:p w:rsidR="006E296E" w:rsidRDefault="006E296E" w:rsidP="0053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C94" w:rsidRDefault="00530C94">
    <w:pPr>
      <w:pStyle w:val="Header"/>
    </w:pPr>
    <w:r>
      <w:rPr>
        <w:noProof/>
      </w:rPr>
      <mc:AlternateContent>
        <mc:Choice Requires="wps">
          <w:drawing>
            <wp:inline distT="0" distB="0" distL="0" distR="0">
              <wp:extent cx="443865" cy="443865"/>
              <wp:effectExtent l="0" t="0" r="7620" b="4445"/>
              <wp:docPr id="268527429"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30C94" w:rsidRPr="00530C94" w:rsidRDefault="00530C94" w:rsidP="00530C94">
                          <w:pPr>
                            <w:rPr>
                              <w:rFonts w:ascii="Calibri" w:eastAsia="Calibri" w:hAnsi="Calibri" w:cs="Calibri"/>
                              <w:noProof/>
                              <w:color w:val="000000"/>
                              <w:szCs w:val="24"/>
                            </w:rPr>
                          </w:pPr>
                          <w:r w:rsidRPr="00530C94">
                            <w:rPr>
                              <w:rFonts w:ascii="Calibri" w:eastAsia="Calibri" w:hAnsi="Calibri" w:cs="Calibri"/>
                              <w:noProof/>
                              <w:color w:val="000000"/>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Classification - Official -  Sensitive"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rsidR="00530C94" w:rsidRPr="00530C94" w:rsidRDefault="00530C94" w:rsidP="00530C94">
                    <w:pPr>
                      <w:rPr>
                        <w:rFonts w:ascii="Calibri" w:eastAsia="Calibri" w:hAnsi="Calibri" w:cs="Calibri"/>
                        <w:noProof/>
                        <w:color w:val="000000"/>
                        <w:szCs w:val="24"/>
                      </w:rPr>
                    </w:pPr>
                    <w:r w:rsidRPr="00530C94">
                      <w:rPr>
                        <w:rFonts w:ascii="Calibri" w:eastAsia="Calibri" w:hAnsi="Calibri" w:cs="Calibri"/>
                        <w:noProof/>
                        <w:color w:val="000000"/>
                        <w:szCs w:val="24"/>
                      </w:rPr>
                      <w:t>Classification - Official -  Sensitive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C94" w:rsidRDefault="00530C94">
    <w:pPr>
      <w:pStyle w:val="Header"/>
    </w:pPr>
    <w:r>
      <w:rPr>
        <w:noProof/>
      </w:rPr>
      <mc:AlternateContent>
        <mc:Choice Requires="wps">
          <w:drawing>
            <wp:anchor distT="0" distB="0" distL="0" distR="0" simplePos="0" relativeHeight="251660288" behindDoc="0" locked="0" layoutInCell="1" allowOverlap="1">
              <wp:simplePos x="723900" y="457200"/>
              <wp:positionH relativeFrom="page">
                <wp:align>left</wp:align>
              </wp:positionH>
              <wp:positionV relativeFrom="page">
                <wp:align>top</wp:align>
              </wp:positionV>
              <wp:extent cx="443865" cy="443865"/>
              <wp:effectExtent l="0" t="0" r="7620" b="4445"/>
              <wp:wrapNone/>
              <wp:docPr id="414651678"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30C94" w:rsidRPr="00530C94" w:rsidRDefault="00530C94" w:rsidP="00530C94">
                          <w:pPr>
                            <w:rPr>
                              <w:rFonts w:ascii="Calibri" w:eastAsia="Calibri" w:hAnsi="Calibri" w:cs="Calibri"/>
                              <w:noProof/>
                              <w:color w:val="000000"/>
                              <w:szCs w:val="24"/>
                            </w:rPr>
                          </w:pPr>
                          <w:r w:rsidRPr="00530C94">
                            <w:rPr>
                              <w:rFonts w:ascii="Calibri" w:eastAsia="Calibri" w:hAnsi="Calibri" w:cs="Calibri"/>
                              <w:noProof/>
                              <w:color w:val="000000"/>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Classification - Official -  Sensitive"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rsidR="00530C94" w:rsidRPr="00530C94" w:rsidRDefault="00530C94" w:rsidP="00530C94">
                    <w:pPr>
                      <w:rPr>
                        <w:rFonts w:ascii="Calibri" w:eastAsia="Calibri" w:hAnsi="Calibri" w:cs="Calibri"/>
                        <w:noProof/>
                        <w:color w:val="000000"/>
                        <w:szCs w:val="24"/>
                      </w:rPr>
                    </w:pPr>
                    <w:r w:rsidRPr="00530C94">
                      <w:rPr>
                        <w:rFonts w:ascii="Calibri" w:eastAsia="Calibri" w:hAnsi="Calibri" w:cs="Calibri"/>
                        <w:noProof/>
                        <w:color w:val="000000"/>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C94" w:rsidRDefault="00530C94">
    <w:pPr>
      <w:pStyle w:val="Header"/>
    </w:pPr>
    <w:r>
      <w:rPr>
        <w:noProof/>
      </w:rPr>
      <mc:AlternateContent>
        <mc:Choice Requires="wps">
          <w:drawing>
            <wp:anchor distT="0" distB="0" distL="0" distR="0" simplePos="0" relativeHeight="251658240" behindDoc="0" locked="0" layoutInCell="1" allowOverlap="1">
              <wp:simplePos x="635" y="635"/>
              <wp:positionH relativeFrom="page">
                <wp:align>left</wp:align>
              </wp:positionH>
              <wp:positionV relativeFrom="page">
                <wp:align>top</wp:align>
              </wp:positionV>
              <wp:extent cx="443865" cy="443865"/>
              <wp:effectExtent l="0" t="0" r="7620" b="4445"/>
              <wp:wrapNone/>
              <wp:docPr id="210580314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30C94" w:rsidRPr="00530C94" w:rsidRDefault="00530C94" w:rsidP="00530C94">
                          <w:pPr>
                            <w:rPr>
                              <w:rFonts w:ascii="Calibri" w:eastAsia="Calibri" w:hAnsi="Calibri" w:cs="Calibri"/>
                              <w:noProof/>
                              <w:color w:val="000000"/>
                              <w:szCs w:val="24"/>
                            </w:rPr>
                          </w:pPr>
                          <w:r w:rsidRPr="00530C94">
                            <w:rPr>
                              <w:rFonts w:ascii="Calibri" w:eastAsia="Calibri" w:hAnsi="Calibri" w:cs="Calibri"/>
                              <w:noProof/>
                              <w:color w:val="000000"/>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rsidR="00530C94" w:rsidRPr="00530C94" w:rsidRDefault="00530C94" w:rsidP="00530C94">
                    <w:pPr>
                      <w:rPr>
                        <w:rFonts w:ascii="Calibri" w:eastAsia="Calibri" w:hAnsi="Calibri" w:cs="Calibri"/>
                        <w:noProof/>
                        <w:color w:val="000000"/>
                        <w:szCs w:val="24"/>
                      </w:rPr>
                    </w:pPr>
                    <w:r w:rsidRPr="00530C94">
                      <w:rPr>
                        <w:rFonts w:ascii="Calibri" w:eastAsia="Calibri" w:hAnsi="Calibri" w:cs="Calibri"/>
                        <w:noProof/>
                        <w:color w:val="000000"/>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34E"/>
    <w:multiLevelType w:val="hybridMultilevel"/>
    <w:tmpl w:val="8D86D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AC7603"/>
    <w:multiLevelType w:val="hybridMultilevel"/>
    <w:tmpl w:val="D152AECC"/>
    <w:lvl w:ilvl="0" w:tplc="AA78478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CB4CCE"/>
    <w:multiLevelType w:val="hybridMultilevel"/>
    <w:tmpl w:val="7FC6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E7F74"/>
    <w:multiLevelType w:val="hybridMultilevel"/>
    <w:tmpl w:val="C212A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D69F9"/>
    <w:multiLevelType w:val="hybridMultilevel"/>
    <w:tmpl w:val="63448C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7300014">
    <w:abstractNumId w:val="3"/>
  </w:num>
  <w:num w:numId="2" w16cid:durableId="398287888">
    <w:abstractNumId w:val="4"/>
  </w:num>
  <w:num w:numId="3" w16cid:durableId="524709080">
    <w:abstractNumId w:val="0"/>
  </w:num>
  <w:num w:numId="4" w16cid:durableId="1125083726">
    <w:abstractNumId w:val="1"/>
  </w:num>
  <w:num w:numId="5" w16cid:durableId="15880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A9"/>
    <w:rsid w:val="00163E72"/>
    <w:rsid w:val="003A61FB"/>
    <w:rsid w:val="004D57FD"/>
    <w:rsid w:val="00530C94"/>
    <w:rsid w:val="00624A13"/>
    <w:rsid w:val="006E296E"/>
    <w:rsid w:val="009E4ECC"/>
    <w:rsid w:val="00A0754B"/>
    <w:rsid w:val="00A21020"/>
    <w:rsid w:val="00AE5DF4"/>
    <w:rsid w:val="00B570D7"/>
    <w:rsid w:val="00BF7F0E"/>
    <w:rsid w:val="00C615A6"/>
    <w:rsid w:val="00C813A4"/>
    <w:rsid w:val="00CF03AE"/>
    <w:rsid w:val="00D12F15"/>
    <w:rsid w:val="00EE47A9"/>
    <w:rsid w:val="00F3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1F1CC-87A8-44EB-BD63-E97F34E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A9"/>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EE47A9"/>
    <w:pPr>
      <w:keepNext/>
      <w:jc w:val="center"/>
      <w:outlineLvl w:val="2"/>
    </w:pPr>
    <w:rPr>
      <w:b/>
    </w:rPr>
  </w:style>
  <w:style w:type="paragraph" w:styleId="Heading5">
    <w:name w:val="heading 5"/>
    <w:basedOn w:val="Normal"/>
    <w:next w:val="Normal"/>
    <w:link w:val="Heading5Char"/>
    <w:qFormat/>
    <w:rsid w:val="00EE47A9"/>
    <w:pPr>
      <w:keepNext/>
      <w:outlineLvl w:val="4"/>
    </w:pPr>
    <w:rPr>
      <w:rFonts w:ascii="Courier New" w:hAnsi="Courier New"/>
      <w:b/>
      <w:sz w:val="22"/>
    </w:rPr>
  </w:style>
  <w:style w:type="paragraph" w:styleId="Heading7">
    <w:name w:val="heading 7"/>
    <w:basedOn w:val="Normal"/>
    <w:next w:val="Normal"/>
    <w:link w:val="Heading7Char"/>
    <w:qFormat/>
    <w:rsid w:val="00EE47A9"/>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47A9"/>
    <w:rPr>
      <w:rFonts w:ascii="Arial" w:eastAsia="Times New Roman" w:hAnsi="Arial" w:cs="Times New Roman"/>
      <w:b/>
      <w:sz w:val="24"/>
      <w:szCs w:val="20"/>
    </w:rPr>
  </w:style>
  <w:style w:type="character" w:customStyle="1" w:styleId="Heading5Char">
    <w:name w:val="Heading 5 Char"/>
    <w:basedOn w:val="DefaultParagraphFont"/>
    <w:link w:val="Heading5"/>
    <w:rsid w:val="00EE47A9"/>
    <w:rPr>
      <w:rFonts w:ascii="Courier New" w:eastAsia="Times New Roman" w:hAnsi="Courier New" w:cs="Times New Roman"/>
      <w:b/>
      <w:szCs w:val="20"/>
    </w:rPr>
  </w:style>
  <w:style w:type="character" w:customStyle="1" w:styleId="Heading7Char">
    <w:name w:val="Heading 7 Char"/>
    <w:basedOn w:val="DefaultParagraphFont"/>
    <w:link w:val="Heading7"/>
    <w:rsid w:val="00EE47A9"/>
    <w:rPr>
      <w:rFonts w:ascii="Arial" w:eastAsia="Times New Roman" w:hAnsi="Arial" w:cs="Times New Roman"/>
      <w:b/>
      <w:sz w:val="24"/>
      <w:szCs w:val="20"/>
    </w:rPr>
  </w:style>
  <w:style w:type="paragraph" w:styleId="BodyText3">
    <w:name w:val="Body Text 3"/>
    <w:basedOn w:val="Normal"/>
    <w:link w:val="BodyText3Char"/>
    <w:semiHidden/>
    <w:rsid w:val="00EE47A9"/>
    <w:pPr>
      <w:jc w:val="center"/>
    </w:pPr>
    <w:rPr>
      <w:b/>
      <w:sz w:val="22"/>
    </w:rPr>
  </w:style>
  <w:style w:type="character" w:customStyle="1" w:styleId="BodyText3Char">
    <w:name w:val="Body Text 3 Char"/>
    <w:basedOn w:val="DefaultParagraphFont"/>
    <w:link w:val="BodyText3"/>
    <w:semiHidden/>
    <w:rsid w:val="00EE47A9"/>
    <w:rPr>
      <w:rFonts w:ascii="Arial" w:eastAsia="Times New Roman" w:hAnsi="Arial" w:cs="Times New Roman"/>
      <w:b/>
      <w:szCs w:val="20"/>
    </w:rPr>
  </w:style>
  <w:style w:type="character" w:styleId="Hyperlink">
    <w:name w:val="Hyperlink"/>
    <w:basedOn w:val="DefaultParagraphFont"/>
    <w:semiHidden/>
    <w:rsid w:val="00EE47A9"/>
    <w:rPr>
      <w:color w:val="0000FF"/>
      <w:u w:val="single"/>
    </w:rPr>
  </w:style>
  <w:style w:type="paragraph" w:styleId="BalloonText">
    <w:name w:val="Balloon Text"/>
    <w:basedOn w:val="Normal"/>
    <w:link w:val="BalloonTextChar"/>
    <w:uiPriority w:val="99"/>
    <w:semiHidden/>
    <w:unhideWhenUsed/>
    <w:rsid w:val="00EE47A9"/>
    <w:rPr>
      <w:rFonts w:ascii="Tahoma" w:hAnsi="Tahoma" w:cs="Tahoma"/>
      <w:sz w:val="16"/>
      <w:szCs w:val="16"/>
    </w:rPr>
  </w:style>
  <w:style w:type="character" w:customStyle="1" w:styleId="BalloonTextChar">
    <w:name w:val="Balloon Text Char"/>
    <w:basedOn w:val="DefaultParagraphFont"/>
    <w:link w:val="BalloonText"/>
    <w:uiPriority w:val="99"/>
    <w:semiHidden/>
    <w:rsid w:val="00EE47A9"/>
    <w:rPr>
      <w:rFonts w:ascii="Tahoma" w:eastAsia="Times New Roman" w:hAnsi="Tahoma" w:cs="Tahoma"/>
      <w:sz w:val="16"/>
      <w:szCs w:val="16"/>
    </w:rPr>
  </w:style>
  <w:style w:type="paragraph" w:styleId="ListParagraph">
    <w:name w:val="List Paragraph"/>
    <w:basedOn w:val="Normal"/>
    <w:uiPriority w:val="34"/>
    <w:qFormat/>
    <w:rsid w:val="00163E72"/>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paragraph" w:styleId="Header">
    <w:name w:val="header"/>
    <w:basedOn w:val="Normal"/>
    <w:link w:val="HeaderChar"/>
    <w:uiPriority w:val="99"/>
    <w:unhideWhenUsed/>
    <w:rsid w:val="00530C94"/>
    <w:pPr>
      <w:tabs>
        <w:tab w:val="center" w:pos="4513"/>
        <w:tab w:val="right" w:pos="9026"/>
      </w:tabs>
    </w:pPr>
  </w:style>
  <w:style w:type="character" w:customStyle="1" w:styleId="HeaderChar">
    <w:name w:val="Header Char"/>
    <w:basedOn w:val="DefaultParagraphFont"/>
    <w:link w:val="Header"/>
    <w:uiPriority w:val="99"/>
    <w:rsid w:val="00530C9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tes@inverclyd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1AC5-CFDB-4B08-B795-FE343D33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dc:creator>
  <cp:keywords/>
  <dc:description/>
  <cp:lastModifiedBy>Kirstin McDonald</cp:lastModifiedBy>
  <cp:revision>2</cp:revision>
  <cp:lastPrinted>2012-03-02T10:59:00Z</cp:lastPrinted>
  <dcterms:created xsi:type="dcterms:W3CDTF">2023-08-16T11:07:00Z</dcterms:created>
  <dcterms:modified xsi:type="dcterms:W3CDTF">2023-08-16T11:07:00Z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7d840185,10016745,18b7151e</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2023-08-16T11:06:59Z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eb4595be-57da-4c98-a1b5-eb06ab097450</vt:lpwstr>
  </property>
  <property fmtid="{D5CDD505-2E9C-101B-9397-08002B2CF9AE}" pid="11" name="MSIP_Label_eaf919c1-e31e-4a8b-81de-c02b82f1dba3_ContentBits">
    <vt:lpwstr>1</vt:lpwstr>
  </property>
</Properties>
</file>